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79" w:rsidRPr="00774679" w:rsidRDefault="00774679" w:rsidP="00774679">
      <w:pPr>
        <w:keepNext/>
        <w:spacing w:after="0" w:line="240" w:lineRule="auto"/>
        <w:jc w:val="center"/>
        <w:outlineLvl w:val="0"/>
        <w:rPr>
          <w:rFonts w:ascii="Times New Roman" w:eastAsia="Times New Roman" w:hAnsi="Times New Roman" w:cs="Times New Roman"/>
          <w:sz w:val="24"/>
          <w:szCs w:val="20"/>
          <w:lang w:val="en-US" w:eastAsia="ru-RU"/>
        </w:rPr>
      </w:pPr>
      <w:r>
        <w:rPr>
          <w:rFonts w:ascii="Times New Roman" w:eastAsia="Times New Roman" w:hAnsi="Times New Roman" w:cs="Times New Roman"/>
          <w:noProof/>
          <w:sz w:val="24"/>
          <w:szCs w:val="20"/>
          <w:lang w:eastAsia="ru-RU"/>
        </w:rPr>
        <w:drawing>
          <wp:inline distT="0" distB="0" distL="0" distR="0">
            <wp:extent cx="5905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p w:rsidR="00774679" w:rsidRPr="00774679" w:rsidRDefault="00774679" w:rsidP="00774679">
      <w:pPr>
        <w:spacing w:after="0" w:line="240" w:lineRule="auto"/>
        <w:jc w:val="center"/>
        <w:rPr>
          <w:rFonts w:ascii="Times New Roman" w:eastAsia="Times New Roman" w:hAnsi="Times New Roman" w:cs="Times New Roman"/>
          <w:sz w:val="32"/>
          <w:szCs w:val="32"/>
          <w:lang w:eastAsia="ru-RU"/>
        </w:rPr>
      </w:pPr>
      <w:r w:rsidRPr="00774679">
        <w:rPr>
          <w:rFonts w:ascii="Times New Roman" w:eastAsia="Times New Roman" w:hAnsi="Times New Roman" w:cs="Times New Roman"/>
          <w:sz w:val="32"/>
          <w:szCs w:val="32"/>
          <w:lang w:eastAsia="ru-RU"/>
        </w:rPr>
        <w:t xml:space="preserve">КОНТРОЛЬНО-СЧЕТНЫЙ КОМИТЕТ КЕМСКОГО МУНИЦИПАЛЬНОГО РАЙОНА </w:t>
      </w:r>
    </w:p>
    <w:p w:rsidR="00774679" w:rsidRPr="00774679" w:rsidRDefault="00774679" w:rsidP="00774679">
      <w:pPr>
        <w:spacing w:after="0" w:line="240" w:lineRule="auto"/>
        <w:jc w:val="center"/>
        <w:rPr>
          <w:rFonts w:ascii="Times New Roman" w:eastAsia="Times New Roman" w:hAnsi="Times New Roman" w:cs="Times New Roman"/>
          <w:spacing w:val="40"/>
          <w:sz w:val="28"/>
          <w:szCs w:val="20"/>
          <w:lang w:eastAsia="ru-RU"/>
        </w:rPr>
      </w:pPr>
    </w:p>
    <w:p w:rsidR="00774679" w:rsidRPr="00774679" w:rsidRDefault="00774679" w:rsidP="00774679">
      <w:pPr>
        <w:keepNext/>
        <w:spacing w:after="0" w:line="240" w:lineRule="auto"/>
        <w:jc w:val="center"/>
        <w:outlineLvl w:val="1"/>
        <w:rPr>
          <w:rFonts w:ascii="Times New Roman" w:eastAsia="Times New Roman" w:hAnsi="Times New Roman" w:cs="Times New Roman"/>
          <w:b/>
          <w:sz w:val="36"/>
          <w:szCs w:val="20"/>
          <w:lang w:eastAsia="ru-RU"/>
        </w:rPr>
      </w:pPr>
      <w:r w:rsidRPr="00774679">
        <w:rPr>
          <w:rFonts w:ascii="Times New Roman" w:eastAsia="Times New Roman" w:hAnsi="Times New Roman" w:cs="Times New Roman"/>
          <w:b/>
          <w:sz w:val="36"/>
          <w:szCs w:val="20"/>
          <w:lang w:eastAsia="ru-RU"/>
        </w:rPr>
        <w:t>ПРИКАЗ</w:t>
      </w:r>
    </w:p>
    <w:p w:rsidR="00774679" w:rsidRPr="00774679" w:rsidRDefault="00774679" w:rsidP="00774679">
      <w:pPr>
        <w:spacing w:after="0" w:line="240" w:lineRule="auto"/>
        <w:rPr>
          <w:rFonts w:ascii="Times New Roman" w:eastAsia="Times New Roman" w:hAnsi="Times New Roman" w:cs="Times New Roman"/>
          <w:sz w:val="24"/>
          <w:szCs w:val="24"/>
          <w:lang w:eastAsia="ru-RU"/>
        </w:rPr>
      </w:pPr>
    </w:p>
    <w:tbl>
      <w:tblPr>
        <w:tblW w:w="9176" w:type="dxa"/>
        <w:tblInd w:w="288" w:type="dxa"/>
        <w:tblBorders>
          <w:top w:val="single" w:sz="4" w:space="0" w:color="auto"/>
          <w:bottom w:val="single" w:sz="4" w:space="0" w:color="auto"/>
        </w:tblBorders>
        <w:tblLayout w:type="fixed"/>
        <w:tblLook w:val="0000" w:firstRow="0" w:lastRow="0" w:firstColumn="0" w:lastColumn="0" w:noHBand="0" w:noVBand="0"/>
      </w:tblPr>
      <w:tblGrid>
        <w:gridCol w:w="2943"/>
        <w:gridCol w:w="5387"/>
        <w:gridCol w:w="846"/>
      </w:tblGrid>
      <w:tr w:rsidR="00774679" w:rsidRPr="00774679" w:rsidTr="00B3797B">
        <w:trPr>
          <w:trHeight w:val="499"/>
        </w:trPr>
        <w:tc>
          <w:tcPr>
            <w:tcW w:w="2943" w:type="dxa"/>
            <w:vAlign w:val="bottom"/>
          </w:tcPr>
          <w:p w:rsidR="00774679" w:rsidRPr="00774679" w:rsidRDefault="00774679" w:rsidP="00774679">
            <w:pPr>
              <w:spacing w:after="0" w:line="240" w:lineRule="auto"/>
              <w:jc w:val="center"/>
              <w:rPr>
                <w:rFonts w:ascii="Times New Roman" w:eastAsia="Times New Roman" w:hAnsi="Times New Roman" w:cs="Times New Roman"/>
                <w:b/>
                <w:sz w:val="24"/>
                <w:szCs w:val="24"/>
                <w:lang w:eastAsia="ru-RU"/>
              </w:rPr>
            </w:pPr>
            <w:r w:rsidRPr="00774679">
              <w:rPr>
                <w:rFonts w:ascii="Times New Roman" w:eastAsia="Times New Roman" w:hAnsi="Times New Roman" w:cs="Times New Roman"/>
                <w:sz w:val="24"/>
                <w:szCs w:val="24"/>
                <w:lang w:eastAsia="ru-RU"/>
              </w:rPr>
              <w:t>28 февраля 2024 г.</w:t>
            </w:r>
          </w:p>
        </w:tc>
        <w:tc>
          <w:tcPr>
            <w:tcW w:w="5387" w:type="dxa"/>
            <w:tcBorders>
              <w:top w:val="single" w:sz="4" w:space="0" w:color="auto"/>
              <w:bottom w:val="nil"/>
            </w:tcBorders>
            <w:vAlign w:val="bottom"/>
          </w:tcPr>
          <w:p w:rsidR="00774679" w:rsidRPr="00774679" w:rsidRDefault="00774679" w:rsidP="00774679">
            <w:pPr>
              <w:spacing w:after="0" w:line="240" w:lineRule="auto"/>
              <w:jc w:val="right"/>
              <w:rPr>
                <w:rFonts w:ascii="Times New Roman" w:eastAsia="Times New Roman" w:hAnsi="Times New Roman" w:cs="Times New Roman"/>
                <w:b/>
                <w:sz w:val="24"/>
                <w:szCs w:val="24"/>
                <w:lang w:eastAsia="ru-RU"/>
              </w:rPr>
            </w:pPr>
            <w:r w:rsidRPr="00774679">
              <w:rPr>
                <w:rFonts w:ascii="Times New Roman" w:eastAsia="Times New Roman" w:hAnsi="Times New Roman" w:cs="Times New Roman"/>
                <w:sz w:val="24"/>
                <w:szCs w:val="24"/>
                <w:lang w:eastAsia="ru-RU"/>
              </w:rPr>
              <w:t>№</w:t>
            </w:r>
          </w:p>
        </w:tc>
        <w:tc>
          <w:tcPr>
            <w:tcW w:w="846" w:type="dxa"/>
            <w:vAlign w:val="bottom"/>
          </w:tcPr>
          <w:p w:rsidR="00774679" w:rsidRPr="00774679" w:rsidRDefault="00774679" w:rsidP="00774679">
            <w:pPr>
              <w:spacing w:after="0" w:line="240" w:lineRule="auto"/>
              <w:ind w:left="-113" w:right="-108"/>
              <w:jc w:val="center"/>
              <w:rPr>
                <w:rFonts w:ascii="Times New Roman" w:eastAsia="Times New Roman" w:hAnsi="Times New Roman" w:cs="Times New Roman"/>
                <w:sz w:val="24"/>
                <w:szCs w:val="24"/>
                <w:lang w:eastAsia="ru-RU"/>
              </w:rPr>
            </w:pPr>
            <w:r w:rsidRPr="00774679">
              <w:rPr>
                <w:rFonts w:ascii="Times New Roman" w:eastAsia="Times New Roman" w:hAnsi="Times New Roman" w:cs="Times New Roman"/>
                <w:sz w:val="24"/>
                <w:szCs w:val="24"/>
                <w:lang w:eastAsia="ru-RU"/>
              </w:rPr>
              <w:t>5-ОД</w:t>
            </w:r>
          </w:p>
        </w:tc>
      </w:tr>
    </w:tbl>
    <w:p w:rsidR="00774679" w:rsidRPr="00774679" w:rsidRDefault="00774679" w:rsidP="00774679">
      <w:pPr>
        <w:spacing w:after="0" w:line="240" w:lineRule="auto"/>
        <w:rPr>
          <w:rFonts w:ascii="Times New Roman" w:eastAsia="Times New Roman" w:hAnsi="Times New Roman" w:cs="Times New Roman"/>
          <w:sz w:val="24"/>
          <w:szCs w:val="24"/>
          <w:u w:val="single"/>
          <w:lang w:eastAsia="ru-RU"/>
        </w:rPr>
      </w:pPr>
    </w:p>
    <w:p w:rsidR="00774679" w:rsidRPr="00774679" w:rsidRDefault="00774679" w:rsidP="00774679">
      <w:pPr>
        <w:spacing w:after="0" w:line="240" w:lineRule="auto"/>
        <w:jc w:val="center"/>
        <w:rPr>
          <w:rFonts w:ascii="Times New Roman" w:eastAsia="Times New Roman" w:hAnsi="Times New Roman" w:cs="Times New Roman"/>
          <w:sz w:val="24"/>
          <w:szCs w:val="24"/>
          <w:lang w:eastAsia="ru-RU"/>
        </w:rPr>
      </w:pPr>
      <w:r w:rsidRPr="00774679">
        <w:rPr>
          <w:rFonts w:ascii="Times New Roman" w:eastAsia="Times New Roman" w:hAnsi="Times New Roman" w:cs="Times New Roman" w:hint="eastAsia"/>
          <w:sz w:val="24"/>
          <w:szCs w:val="24"/>
          <w:lang w:eastAsia="ru-RU"/>
        </w:rPr>
        <w:t>Республика</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Карелия</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город</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Кемь</w:t>
      </w: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r w:rsidRPr="00774679">
        <w:rPr>
          <w:rFonts w:ascii="Times New Roman" w:eastAsia="Times New Roman" w:hAnsi="Times New Roman" w:cs="Times New Roman" w:hint="eastAsia"/>
          <w:sz w:val="24"/>
          <w:szCs w:val="24"/>
          <w:lang w:eastAsia="ru-RU"/>
        </w:rPr>
        <w:t>Об</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утверждении</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стандарта</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внешнего</w:t>
      </w:r>
      <w:r w:rsidRPr="00774679">
        <w:rPr>
          <w:rFonts w:ascii="Times New Roman" w:eastAsia="Times New Roman" w:hAnsi="Times New Roman" w:cs="Times New Roman"/>
          <w:sz w:val="24"/>
          <w:szCs w:val="24"/>
          <w:lang w:eastAsia="ru-RU"/>
        </w:rPr>
        <w:t xml:space="preserve"> </w:t>
      </w: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r w:rsidRPr="00774679">
        <w:rPr>
          <w:rFonts w:ascii="Times New Roman" w:eastAsia="Times New Roman" w:hAnsi="Times New Roman" w:cs="Times New Roman"/>
          <w:sz w:val="24"/>
          <w:szCs w:val="24"/>
          <w:lang w:eastAsia="ru-RU"/>
        </w:rPr>
        <w:t>м</w:t>
      </w:r>
      <w:r w:rsidRPr="00774679">
        <w:rPr>
          <w:rFonts w:ascii="Times New Roman" w:eastAsia="Times New Roman" w:hAnsi="Times New Roman" w:cs="Times New Roman" w:hint="eastAsia"/>
          <w:sz w:val="24"/>
          <w:szCs w:val="24"/>
          <w:lang w:eastAsia="ru-RU"/>
        </w:rPr>
        <w:t>униципального</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финансового</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контроля</w:t>
      </w: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p>
    <w:p w:rsidR="00774679" w:rsidRPr="00774679" w:rsidRDefault="00774679" w:rsidP="00774679">
      <w:pPr>
        <w:spacing w:after="0" w:line="240" w:lineRule="auto"/>
        <w:ind w:firstLine="709"/>
        <w:jc w:val="both"/>
        <w:rPr>
          <w:rFonts w:ascii="Times New Roman" w:eastAsia="Times New Roman" w:hAnsi="Times New Roman" w:cs="Times New Roman"/>
          <w:sz w:val="24"/>
          <w:szCs w:val="24"/>
          <w:lang w:eastAsia="ru-RU"/>
        </w:rPr>
      </w:pPr>
      <w:r w:rsidRPr="00774679">
        <w:rPr>
          <w:rFonts w:ascii="Times New Roman" w:eastAsia="Times New Roman" w:hAnsi="Times New Roman" w:cs="Times New Roman" w:hint="eastAsia"/>
          <w:sz w:val="24"/>
          <w:szCs w:val="24"/>
          <w:lang w:eastAsia="ru-RU"/>
        </w:rPr>
        <w:t>В</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соответствии</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со</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статьей</w:t>
      </w:r>
      <w:r w:rsidRPr="00774679">
        <w:rPr>
          <w:rFonts w:ascii="Times New Roman" w:eastAsia="Times New Roman" w:hAnsi="Times New Roman" w:cs="Times New Roman"/>
          <w:sz w:val="24"/>
          <w:szCs w:val="24"/>
          <w:lang w:eastAsia="ru-RU"/>
        </w:rPr>
        <w:t xml:space="preserve"> 11 </w:t>
      </w:r>
      <w:r w:rsidRPr="00774679">
        <w:rPr>
          <w:rFonts w:ascii="Times New Roman" w:eastAsia="Times New Roman" w:hAnsi="Times New Roman" w:cs="Times New Roman" w:hint="eastAsia"/>
          <w:sz w:val="24"/>
          <w:szCs w:val="24"/>
          <w:lang w:eastAsia="ru-RU"/>
        </w:rPr>
        <w:t>Федерального</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закона</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от</w:t>
      </w:r>
      <w:r w:rsidRPr="00774679">
        <w:rPr>
          <w:rFonts w:ascii="Times New Roman" w:eastAsia="Times New Roman" w:hAnsi="Times New Roman" w:cs="Times New Roman"/>
          <w:sz w:val="24"/>
          <w:szCs w:val="24"/>
          <w:lang w:eastAsia="ru-RU"/>
        </w:rPr>
        <w:t xml:space="preserve"> 7 </w:t>
      </w:r>
      <w:r w:rsidRPr="00774679">
        <w:rPr>
          <w:rFonts w:ascii="Times New Roman" w:eastAsia="Times New Roman" w:hAnsi="Times New Roman" w:cs="Times New Roman" w:hint="eastAsia"/>
          <w:sz w:val="24"/>
          <w:szCs w:val="24"/>
          <w:lang w:eastAsia="ru-RU"/>
        </w:rPr>
        <w:t>февраля</w:t>
      </w:r>
      <w:r w:rsidRPr="00774679">
        <w:rPr>
          <w:rFonts w:ascii="Times New Roman" w:eastAsia="Times New Roman" w:hAnsi="Times New Roman" w:cs="Times New Roman"/>
          <w:sz w:val="24"/>
          <w:szCs w:val="24"/>
          <w:lang w:eastAsia="ru-RU"/>
        </w:rPr>
        <w:t xml:space="preserve"> 2011 </w:t>
      </w:r>
      <w:r w:rsidRPr="00774679">
        <w:rPr>
          <w:rFonts w:ascii="Times New Roman" w:eastAsia="Times New Roman" w:hAnsi="Times New Roman" w:cs="Times New Roman" w:hint="eastAsia"/>
          <w:sz w:val="24"/>
          <w:szCs w:val="24"/>
          <w:lang w:eastAsia="ru-RU"/>
        </w:rPr>
        <w:t>года</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w:t>
      </w:r>
      <w:r w:rsidRPr="00774679">
        <w:rPr>
          <w:rFonts w:ascii="Times New Roman" w:eastAsia="Times New Roman" w:hAnsi="Times New Roman" w:cs="Times New Roman"/>
          <w:sz w:val="24"/>
          <w:szCs w:val="24"/>
          <w:lang w:eastAsia="ru-RU"/>
        </w:rPr>
        <w:t xml:space="preserve"> 6-</w:t>
      </w:r>
      <w:r w:rsidRPr="00774679">
        <w:rPr>
          <w:rFonts w:ascii="Times New Roman" w:eastAsia="Times New Roman" w:hAnsi="Times New Roman" w:cs="Times New Roman" w:hint="eastAsia"/>
          <w:sz w:val="24"/>
          <w:szCs w:val="24"/>
          <w:lang w:eastAsia="ru-RU"/>
        </w:rPr>
        <w:t>ФЗ</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Об</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общих</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принципах</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организации</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и</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деятельности</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контрольно</w:t>
      </w:r>
      <w:r w:rsidRPr="00774679">
        <w:rPr>
          <w:rFonts w:ascii="Times New Roman" w:eastAsia="Times New Roman" w:hAnsi="Times New Roman" w:cs="Times New Roman"/>
          <w:sz w:val="24"/>
          <w:szCs w:val="24"/>
          <w:lang w:eastAsia="ru-RU"/>
        </w:rPr>
        <w:t xml:space="preserve"> – </w:t>
      </w:r>
      <w:r w:rsidRPr="00774679">
        <w:rPr>
          <w:rFonts w:ascii="Times New Roman" w:eastAsia="Times New Roman" w:hAnsi="Times New Roman" w:cs="Times New Roman" w:hint="eastAsia"/>
          <w:sz w:val="24"/>
          <w:szCs w:val="24"/>
          <w:lang w:eastAsia="ru-RU"/>
        </w:rPr>
        <w:t>счетных</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органов</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субъектов</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Российской</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Федерации</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и</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муниципальных</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образований»</w:t>
      </w:r>
      <w:r w:rsidRPr="00774679">
        <w:rPr>
          <w:rFonts w:ascii="Times New Roman" w:eastAsia="Times New Roman" w:hAnsi="Times New Roman" w:cs="Times New Roman"/>
          <w:sz w:val="24"/>
          <w:szCs w:val="24"/>
          <w:lang w:eastAsia="ru-RU"/>
        </w:rPr>
        <w:t>,</w:t>
      </w: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p>
    <w:p w:rsidR="00774679" w:rsidRPr="00774679" w:rsidRDefault="00774679" w:rsidP="00774679">
      <w:pPr>
        <w:spacing w:after="0" w:line="240" w:lineRule="auto"/>
        <w:jc w:val="both"/>
        <w:rPr>
          <w:rFonts w:ascii="Times New Roman" w:eastAsia="Times New Roman" w:hAnsi="Times New Roman" w:cs="Times New Roman"/>
          <w:b/>
          <w:sz w:val="24"/>
          <w:szCs w:val="24"/>
          <w:lang w:eastAsia="ru-RU"/>
        </w:rPr>
      </w:pPr>
      <w:r w:rsidRPr="00774679">
        <w:rPr>
          <w:rFonts w:ascii="Times New Roman" w:eastAsia="Times New Roman" w:hAnsi="Times New Roman" w:cs="Times New Roman" w:hint="eastAsia"/>
          <w:b/>
          <w:sz w:val="24"/>
          <w:szCs w:val="24"/>
          <w:lang w:eastAsia="ru-RU"/>
        </w:rPr>
        <w:t>ПРИКАЗЫВАЮ</w:t>
      </w:r>
      <w:r w:rsidRPr="00774679">
        <w:rPr>
          <w:rFonts w:ascii="Times New Roman" w:eastAsia="Times New Roman" w:hAnsi="Times New Roman" w:cs="Times New Roman"/>
          <w:b/>
          <w:sz w:val="24"/>
          <w:szCs w:val="24"/>
          <w:lang w:eastAsia="ru-RU"/>
        </w:rPr>
        <w:t>:</w:t>
      </w:r>
    </w:p>
    <w:p w:rsidR="00774679" w:rsidRPr="00774679" w:rsidRDefault="00774679" w:rsidP="00774679">
      <w:pPr>
        <w:spacing w:after="0" w:line="240" w:lineRule="auto"/>
        <w:jc w:val="both"/>
        <w:rPr>
          <w:rFonts w:ascii="Times New Roman" w:eastAsia="Times New Roman" w:hAnsi="Times New Roman" w:cs="Times New Roman"/>
          <w:sz w:val="24"/>
          <w:szCs w:val="24"/>
          <w:lang w:eastAsia="ru-RU"/>
        </w:rPr>
      </w:pPr>
    </w:p>
    <w:p w:rsidR="00774679" w:rsidRPr="00774679" w:rsidRDefault="00774679" w:rsidP="009656AB">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774679">
        <w:rPr>
          <w:rFonts w:ascii="Times New Roman" w:eastAsia="Times New Roman" w:hAnsi="Times New Roman" w:cs="Times New Roman" w:hint="eastAsia"/>
          <w:sz w:val="24"/>
          <w:szCs w:val="24"/>
          <w:lang w:eastAsia="ru-RU"/>
        </w:rPr>
        <w:t>Утвердить</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Стандарт</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внешнего</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муниципального</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финансового</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контроля</w:t>
      </w:r>
      <w:r w:rsidRPr="00774679">
        <w:rPr>
          <w:rFonts w:ascii="Times New Roman" w:eastAsia="Times New Roman" w:hAnsi="Times New Roman" w:cs="Times New Roman"/>
          <w:sz w:val="24"/>
          <w:szCs w:val="24"/>
          <w:lang w:eastAsia="ru-RU"/>
        </w:rPr>
        <w:t xml:space="preserve"> «Проведение внешней проверки годового отчета об исполнении бюджета Кемского муниципального района совместно с проверкой достоверности годовой бюджетной отчетности главных администраторов бюджетных средств» (</w:t>
      </w:r>
      <w:r w:rsidRPr="00774679">
        <w:rPr>
          <w:rFonts w:ascii="Times New Roman" w:eastAsia="Times New Roman" w:hAnsi="Times New Roman" w:cs="Times New Roman" w:hint="eastAsia"/>
          <w:sz w:val="24"/>
          <w:szCs w:val="24"/>
          <w:lang w:eastAsia="ru-RU"/>
        </w:rPr>
        <w:t>Прилагается</w:t>
      </w:r>
      <w:r w:rsidRPr="00774679">
        <w:rPr>
          <w:rFonts w:ascii="Times New Roman" w:eastAsia="Times New Roman" w:hAnsi="Times New Roman" w:cs="Times New Roman"/>
          <w:sz w:val="24"/>
          <w:szCs w:val="24"/>
          <w:lang w:eastAsia="ru-RU"/>
        </w:rPr>
        <w:t xml:space="preserve">).  </w:t>
      </w:r>
    </w:p>
    <w:p w:rsidR="00774679" w:rsidRPr="00774679" w:rsidRDefault="00774679" w:rsidP="009656AB">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774679">
        <w:rPr>
          <w:rFonts w:ascii="Times New Roman" w:eastAsia="Times New Roman" w:hAnsi="Times New Roman" w:cs="Times New Roman" w:hint="eastAsia"/>
          <w:sz w:val="24"/>
          <w:szCs w:val="24"/>
          <w:lang w:eastAsia="ru-RU"/>
        </w:rPr>
        <w:t>Приказ</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вступает</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в</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силу</w:t>
      </w:r>
      <w:r w:rsidRPr="00774679">
        <w:rPr>
          <w:rFonts w:ascii="Times New Roman" w:eastAsia="Times New Roman" w:hAnsi="Times New Roman" w:cs="Times New Roman"/>
          <w:sz w:val="24"/>
          <w:szCs w:val="24"/>
          <w:lang w:eastAsia="ru-RU"/>
        </w:rPr>
        <w:t xml:space="preserve"> </w:t>
      </w:r>
      <w:proofErr w:type="gramStart"/>
      <w:r w:rsidRPr="00774679">
        <w:rPr>
          <w:rFonts w:ascii="Times New Roman" w:eastAsia="Times New Roman" w:hAnsi="Times New Roman" w:cs="Times New Roman" w:hint="eastAsia"/>
          <w:sz w:val="24"/>
          <w:szCs w:val="24"/>
          <w:lang w:eastAsia="ru-RU"/>
        </w:rPr>
        <w:t>с</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даты</w:t>
      </w:r>
      <w:r w:rsidRPr="00774679">
        <w:rPr>
          <w:rFonts w:ascii="Times New Roman" w:eastAsia="Times New Roman" w:hAnsi="Times New Roman" w:cs="Times New Roman"/>
          <w:sz w:val="24"/>
          <w:szCs w:val="24"/>
          <w:lang w:eastAsia="ru-RU"/>
        </w:rPr>
        <w:t xml:space="preserve"> </w:t>
      </w:r>
      <w:r w:rsidRPr="00774679">
        <w:rPr>
          <w:rFonts w:ascii="Times New Roman" w:eastAsia="Times New Roman" w:hAnsi="Times New Roman" w:cs="Times New Roman" w:hint="eastAsia"/>
          <w:sz w:val="24"/>
          <w:szCs w:val="24"/>
          <w:lang w:eastAsia="ru-RU"/>
        </w:rPr>
        <w:t>подписания</w:t>
      </w:r>
      <w:proofErr w:type="gramEnd"/>
      <w:r w:rsidRPr="00774679">
        <w:rPr>
          <w:rFonts w:ascii="Times New Roman" w:eastAsia="Times New Roman" w:hAnsi="Times New Roman" w:cs="Times New Roman"/>
          <w:sz w:val="24"/>
          <w:szCs w:val="24"/>
          <w:lang w:eastAsia="ru-RU"/>
        </w:rPr>
        <w:t>.</w:t>
      </w:r>
    </w:p>
    <w:p w:rsidR="00774679" w:rsidRPr="00774679" w:rsidRDefault="00774679" w:rsidP="00774679">
      <w:pPr>
        <w:spacing w:after="0" w:line="240" w:lineRule="auto"/>
        <w:jc w:val="both"/>
        <w:rPr>
          <w:rFonts w:ascii="Times New Roman" w:eastAsia="Times New Roman" w:hAnsi="Times New Roman" w:cs="Times New Roman"/>
          <w:sz w:val="28"/>
          <w:szCs w:val="28"/>
          <w:lang w:eastAsia="ru-RU"/>
        </w:rPr>
      </w:pPr>
    </w:p>
    <w:p w:rsidR="00774679" w:rsidRPr="00774679" w:rsidRDefault="00774679" w:rsidP="00774679">
      <w:pPr>
        <w:spacing w:after="0" w:line="240" w:lineRule="auto"/>
        <w:ind w:left="708"/>
        <w:jc w:val="both"/>
        <w:rPr>
          <w:rFonts w:ascii="Times New Roman" w:eastAsia="Times New Roman" w:hAnsi="Times New Roman" w:cs="Times New Roman"/>
          <w:sz w:val="24"/>
          <w:szCs w:val="28"/>
          <w:lang w:eastAsia="ru-RU"/>
        </w:rPr>
      </w:pPr>
    </w:p>
    <w:p w:rsidR="00774679" w:rsidRPr="00774679" w:rsidRDefault="00774679" w:rsidP="00774679">
      <w:pPr>
        <w:spacing w:after="0" w:line="240" w:lineRule="auto"/>
        <w:ind w:left="708"/>
        <w:jc w:val="both"/>
        <w:rPr>
          <w:rFonts w:ascii="Times New Roman" w:eastAsia="Times New Roman" w:hAnsi="Times New Roman" w:cs="Times New Roman"/>
          <w:sz w:val="24"/>
          <w:szCs w:val="28"/>
          <w:lang w:eastAsia="ru-RU"/>
        </w:rPr>
      </w:pPr>
    </w:p>
    <w:p w:rsidR="00774679" w:rsidRPr="00774679" w:rsidRDefault="00774679" w:rsidP="00774679">
      <w:pPr>
        <w:spacing w:after="0" w:line="240" w:lineRule="auto"/>
        <w:ind w:left="708"/>
        <w:jc w:val="both"/>
        <w:rPr>
          <w:rFonts w:ascii="Times New Roman" w:eastAsia="Times New Roman" w:hAnsi="Times New Roman" w:cs="Times New Roman"/>
          <w:sz w:val="24"/>
          <w:szCs w:val="28"/>
          <w:lang w:eastAsia="ru-RU"/>
        </w:rPr>
      </w:pPr>
    </w:p>
    <w:p w:rsidR="00774679" w:rsidRPr="00774679" w:rsidRDefault="00774679" w:rsidP="00774679">
      <w:pPr>
        <w:spacing w:after="0" w:line="240" w:lineRule="auto"/>
        <w:jc w:val="both"/>
        <w:rPr>
          <w:rFonts w:ascii="Times New Roman" w:eastAsia="Times New Roman" w:hAnsi="Times New Roman" w:cs="Times New Roman"/>
          <w:sz w:val="24"/>
          <w:szCs w:val="28"/>
          <w:lang w:eastAsia="ru-RU"/>
        </w:rPr>
      </w:pPr>
      <w:r w:rsidRPr="00774679">
        <w:rPr>
          <w:rFonts w:ascii="Times New Roman" w:eastAsia="Times New Roman" w:hAnsi="Times New Roman" w:cs="Times New Roman"/>
          <w:sz w:val="24"/>
          <w:szCs w:val="28"/>
          <w:lang w:eastAsia="ru-RU"/>
        </w:rPr>
        <w:t>Председатель                                                                                                            Ю.И. Зайцева</w:t>
      </w:r>
    </w:p>
    <w:p w:rsidR="00774679" w:rsidRPr="00774679" w:rsidRDefault="00774679" w:rsidP="00774679">
      <w:pPr>
        <w:spacing w:after="0" w:line="240" w:lineRule="auto"/>
        <w:rPr>
          <w:rFonts w:ascii="Times New Roman" w:eastAsia="Times New Roman" w:hAnsi="Times New Roman" w:cs="Times New Roman"/>
          <w:sz w:val="24"/>
          <w:szCs w:val="24"/>
          <w:lang w:eastAsia="ru-RU"/>
        </w:rPr>
      </w:pPr>
    </w:p>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Pr="00774679" w:rsidRDefault="00774679" w:rsidP="00774679">
      <w:pPr>
        <w:spacing w:after="0" w:line="240" w:lineRule="auto"/>
        <w:jc w:val="center"/>
        <w:rPr>
          <w:rFonts w:ascii="Times New Roman" w:hAnsi="Times New Roman" w:cs="Times New Roman"/>
          <w:sz w:val="24"/>
          <w:szCs w:val="24"/>
        </w:rPr>
      </w:pPr>
      <w:r w:rsidRPr="00774679">
        <w:rPr>
          <w:rFonts w:ascii="Times New Roman" w:hAnsi="Times New Roman" w:cs="Times New Roman"/>
          <w:sz w:val="24"/>
          <w:szCs w:val="24"/>
        </w:rPr>
        <w:lastRenderedPageBreak/>
        <w:t>КОНТРОЛЬНО-СЧЕТНЫЙ КОМИТЕТ</w:t>
      </w:r>
    </w:p>
    <w:p w:rsidR="00774679" w:rsidRPr="00774679" w:rsidRDefault="00774679" w:rsidP="00774679">
      <w:pPr>
        <w:spacing w:after="0" w:line="240" w:lineRule="auto"/>
        <w:jc w:val="center"/>
        <w:rPr>
          <w:rFonts w:ascii="Times New Roman" w:hAnsi="Times New Roman" w:cs="Times New Roman"/>
          <w:sz w:val="24"/>
          <w:szCs w:val="24"/>
        </w:rPr>
      </w:pPr>
      <w:r w:rsidRPr="00774679">
        <w:rPr>
          <w:rFonts w:ascii="Times New Roman" w:hAnsi="Times New Roman" w:cs="Times New Roman"/>
          <w:sz w:val="24"/>
          <w:szCs w:val="24"/>
        </w:rPr>
        <w:t>КЕМСКОГО МУНИЦИПАЛЬНОГО РАЙОНА</w:t>
      </w:r>
    </w:p>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Pr="00774679" w:rsidRDefault="00774679" w:rsidP="00774679">
      <w:pPr>
        <w:jc w:val="center"/>
        <w:rPr>
          <w:rFonts w:ascii="Times New Roman" w:hAnsi="Times New Roman" w:cs="Times New Roman"/>
          <w:b/>
          <w:sz w:val="24"/>
          <w:szCs w:val="24"/>
        </w:rPr>
      </w:pPr>
      <w:r w:rsidRPr="00774679">
        <w:rPr>
          <w:rFonts w:ascii="Times New Roman" w:hAnsi="Times New Roman" w:cs="Times New Roman"/>
          <w:b/>
          <w:sz w:val="24"/>
          <w:szCs w:val="24"/>
        </w:rPr>
        <w:t>СТАНДАРТ ВНЕШНЕГО МУНИЦИПАЛЬНОГО ФИНАНСОВОГО КОНТРОЛЯ</w:t>
      </w:r>
    </w:p>
    <w:p w:rsidR="00774679" w:rsidRPr="00774679" w:rsidRDefault="00774679" w:rsidP="00774679">
      <w:pPr>
        <w:jc w:val="center"/>
        <w:rPr>
          <w:rFonts w:ascii="Times New Roman" w:hAnsi="Times New Roman" w:cs="Times New Roman"/>
          <w:b/>
          <w:sz w:val="24"/>
          <w:szCs w:val="24"/>
        </w:rPr>
      </w:pPr>
      <w:r w:rsidRPr="00774679">
        <w:rPr>
          <w:rFonts w:ascii="Times New Roman" w:hAnsi="Times New Roman" w:cs="Times New Roman"/>
          <w:b/>
          <w:sz w:val="24"/>
          <w:szCs w:val="24"/>
        </w:rPr>
        <w:t>«Проведение внешней проверки годового отчета об исполнении бюджета Кемского муниципального района совместно с проверкой достоверности годовой бюджетной отчетности главных администраторов бюджетных средств»</w:t>
      </w:r>
    </w:p>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Default="00774679" w:rsidP="00774679"/>
    <w:p w:rsidR="00774679" w:rsidRPr="00774679" w:rsidRDefault="00774679" w:rsidP="00774679">
      <w:pPr>
        <w:spacing w:after="0" w:line="240" w:lineRule="auto"/>
        <w:jc w:val="right"/>
        <w:rPr>
          <w:rFonts w:ascii="Times New Roman" w:hAnsi="Times New Roman" w:cs="Times New Roman"/>
          <w:sz w:val="24"/>
          <w:szCs w:val="24"/>
        </w:rPr>
      </w:pPr>
      <w:r w:rsidRPr="00774679">
        <w:rPr>
          <w:rFonts w:ascii="Times New Roman" w:hAnsi="Times New Roman" w:cs="Times New Roman"/>
          <w:sz w:val="24"/>
          <w:szCs w:val="24"/>
        </w:rPr>
        <w:t>Утверждено</w:t>
      </w:r>
    </w:p>
    <w:p w:rsidR="00774679" w:rsidRPr="00774679" w:rsidRDefault="00774679" w:rsidP="00774679">
      <w:pPr>
        <w:spacing w:after="0" w:line="240" w:lineRule="auto"/>
        <w:jc w:val="right"/>
        <w:rPr>
          <w:rFonts w:ascii="Times New Roman" w:hAnsi="Times New Roman" w:cs="Times New Roman"/>
          <w:sz w:val="24"/>
          <w:szCs w:val="24"/>
        </w:rPr>
      </w:pPr>
      <w:r w:rsidRPr="00774679">
        <w:rPr>
          <w:rFonts w:ascii="Times New Roman" w:hAnsi="Times New Roman" w:cs="Times New Roman"/>
          <w:sz w:val="24"/>
          <w:szCs w:val="24"/>
        </w:rPr>
        <w:t>Приказом</w:t>
      </w:r>
    </w:p>
    <w:p w:rsidR="00774679" w:rsidRPr="00774679" w:rsidRDefault="00774679" w:rsidP="00774679">
      <w:pPr>
        <w:spacing w:after="0" w:line="240" w:lineRule="auto"/>
        <w:jc w:val="right"/>
        <w:rPr>
          <w:rFonts w:ascii="Times New Roman" w:hAnsi="Times New Roman" w:cs="Times New Roman"/>
          <w:sz w:val="24"/>
          <w:szCs w:val="24"/>
        </w:rPr>
      </w:pPr>
      <w:r w:rsidRPr="00774679">
        <w:rPr>
          <w:rFonts w:ascii="Times New Roman" w:hAnsi="Times New Roman" w:cs="Times New Roman"/>
          <w:sz w:val="24"/>
          <w:szCs w:val="24"/>
        </w:rPr>
        <w:t xml:space="preserve">Контрольно-счетного комитета </w:t>
      </w:r>
    </w:p>
    <w:p w:rsidR="00774679" w:rsidRPr="00774679" w:rsidRDefault="00774679" w:rsidP="00774679">
      <w:pPr>
        <w:spacing w:after="0" w:line="240" w:lineRule="auto"/>
        <w:jc w:val="right"/>
        <w:rPr>
          <w:rFonts w:ascii="Times New Roman" w:hAnsi="Times New Roman" w:cs="Times New Roman"/>
          <w:sz w:val="24"/>
          <w:szCs w:val="24"/>
        </w:rPr>
      </w:pPr>
      <w:r w:rsidRPr="00774679">
        <w:rPr>
          <w:rFonts w:ascii="Times New Roman" w:hAnsi="Times New Roman" w:cs="Times New Roman"/>
          <w:sz w:val="24"/>
          <w:szCs w:val="24"/>
        </w:rPr>
        <w:t>Кемского муниципального района</w:t>
      </w:r>
    </w:p>
    <w:p w:rsidR="00774679" w:rsidRPr="00774679" w:rsidRDefault="00774679" w:rsidP="00774679">
      <w:pPr>
        <w:spacing w:after="0" w:line="240" w:lineRule="auto"/>
        <w:jc w:val="right"/>
        <w:rPr>
          <w:rFonts w:ascii="Times New Roman" w:hAnsi="Times New Roman" w:cs="Times New Roman"/>
          <w:sz w:val="24"/>
          <w:szCs w:val="24"/>
        </w:rPr>
      </w:pPr>
      <w:r w:rsidRPr="00774679">
        <w:rPr>
          <w:rFonts w:ascii="Times New Roman" w:hAnsi="Times New Roman" w:cs="Times New Roman"/>
          <w:sz w:val="24"/>
          <w:szCs w:val="24"/>
        </w:rPr>
        <w:t>от 28.02.2024 г. № 5-ОД</w:t>
      </w:r>
    </w:p>
    <w:p w:rsidR="00774679" w:rsidRPr="00774679" w:rsidRDefault="00774679" w:rsidP="00774679">
      <w:pPr>
        <w:rPr>
          <w:rFonts w:ascii="Times New Roman" w:hAnsi="Times New Roman" w:cs="Times New Roman"/>
          <w:sz w:val="24"/>
          <w:szCs w:val="24"/>
        </w:rPr>
      </w:pPr>
    </w:p>
    <w:p w:rsidR="00774679" w:rsidRPr="00774679" w:rsidRDefault="00774679" w:rsidP="00774679">
      <w:pPr>
        <w:rPr>
          <w:rFonts w:ascii="Times New Roman" w:hAnsi="Times New Roman" w:cs="Times New Roman"/>
          <w:sz w:val="24"/>
          <w:szCs w:val="24"/>
        </w:rPr>
      </w:pPr>
    </w:p>
    <w:p w:rsidR="00774679" w:rsidRPr="00774679" w:rsidRDefault="00774679" w:rsidP="00774679">
      <w:pPr>
        <w:jc w:val="center"/>
        <w:rPr>
          <w:rFonts w:ascii="Times New Roman" w:hAnsi="Times New Roman" w:cs="Times New Roman"/>
          <w:sz w:val="24"/>
          <w:szCs w:val="24"/>
        </w:rPr>
      </w:pPr>
      <w:r w:rsidRPr="00774679">
        <w:rPr>
          <w:rFonts w:ascii="Times New Roman" w:hAnsi="Times New Roman" w:cs="Times New Roman"/>
          <w:sz w:val="24"/>
          <w:szCs w:val="24"/>
        </w:rPr>
        <w:t>2024</w:t>
      </w:r>
    </w:p>
    <w:p w:rsidR="00774679" w:rsidRPr="00774679" w:rsidRDefault="00774679" w:rsidP="00774679">
      <w:pPr>
        <w:jc w:val="center"/>
        <w:rPr>
          <w:rFonts w:ascii="Times New Roman" w:hAnsi="Times New Roman" w:cs="Times New Roman"/>
          <w:sz w:val="24"/>
          <w:szCs w:val="24"/>
        </w:rPr>
      </w:pPr>
      <w:r w:rsidRPr="00774679">
        <w:rPr>
          <w:rFonts w:ascii="Times New Roman" w:hAnsi="Times New Roman" w:cs="Times New Roman"/>
          <w:sz w:val="24"/>
          <w:szCs w:val="24"/>
        </w:rPr>
        <w:lastRenderedPageBreak/>
        <w:t>Содержание</w:t>
      </w:r>
    </w:p>
    <w:p w:rsidR="00774679" w:rsidRPr="00774679" w:rsidRDefault="00774679" w:rsidP="00774679">
      <w:pPr>
        <w:spacing w:after="0"/>
        <w:rPr>
          <w:rFonts w:ascii="Times New Roman" w:hAnsi="Times New Roman" w:cs="Times New Roman"/>
          <w:sz w:val="24"/>
          <w:szCs w:val="24"/>
        </w:rPr>
      </w:pPr>
    </w:p>
    <w:p w:rsid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1.</w:t>
      </w:r>
      <w:r w:rsidRPr="00774679">
        <w:rPr>
          <w:rFonts w:ascii="Times New Roman" w:hAnsi="Times New Roman" w:cs="Times New Roman"/>
          <w:sz w:val="24"/>
          <w:szCs w:val="24"/>
        </w:rPr>
        <w:tab/>
        <w:t>Общие положения</w:t>
      </w:r>
      <w:r w:rsidR="009656AB">
        <w:rPr>
          <w:rFonts w:ascii="Times New Roman" w:hAnsi="Times New Roman" w:cs="Times New Roman"/>
          <w:sz w:val="24"/>
          <w:szCs w:val="24"/>
        </w:rPr>
        <w:t xml:space="preserve">                                                                                                   </w:t>
      </w:r>
      <w:r w:rsidRPr="00774679">
        <w:rPr>
          <w:rFonts w:ascii="Times New Roman" w:hAnsi="Times New Roman" w:cs="Times New Roman"/>
          <w:sz w:val="24"/>
          <w:szCs w:val="24"/>
        </w:rPr>
        <w:tab/>
        <w:t>3</w:t>
      </w:r>
    </w:p>
    <w:p w:rsidR="00B039A0" w:rsidRPr="00774679" w:rsidRDefault="00B039A0" w:rsidP="00774679">
      <w:pPr>
        <w:spacing w:after="0"/>
        <w:jc w:val="both"/>
        <w:rPr>
          <w:rFonts w:ascii="Times New Roman" w:hAnsi="Times New Roman" w:cs="Times New Roman"/>
          <w:sz w:val="24"/>
          <w:szCs w:val="24"/>
        </w:rPr>
      </w:pP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2.</w:t>
      </w:r>
      <w:r w:rsidRPr="00774679">
        <w:rPr>
          <w:rFonts w:ascii="Times New Roman" w:hAnsi="Times New Roman" w:cs="Times New Roman"/>
          <w:sz w:val="24"/>
          <w:szCs w:val="24"/>
        </w:rPr>
        <w:tab/>
        <w:t>Основные эт</w:t>
      </w:r>
      <w:r w:rsidR="009656AB">
        <w:rPr>
          <w:rFonts w:ascii="Times New Roman" w:hAnsi="Times New Roman" w:cs="Times New Roman"/>
          <w:sz w:val="24"/>
          <w:szCs w:val="24"/>
        </w:rPr>
        <w:t>апы проведения внешней проверки                                                          4</w:t>
      </w:r>
    </w:p>
    <w:p w:rsidR="00774679" w:rsidRPr="00774679" w:rsidRDefault="00774679" w:rsidP="00774679">
      <w:pPr>
        <w:spacing w:after="0"/>
        <w:jc w:val="both"/>
        <w:rPr>
          <w:rFonts w:ascii="Times New Roman" w:hAnsi="Times New Roman" w:cs="Times New Roman"/>
          <w:sz w:val="24"/>
          <w:szCs w:val="24"/>
        </w:rPr>
      </w:pPr>
    </w:p>
    <w:p w:rsidR="00774679" w:rsidRDefault="009656AB" w:rsidP="00774679">
      <w:p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Внешняя проверка                                                                                                             5</w:t>
      </w:r>
    </w:p>
    <w:p w:rsidR="00B039A0" w:rsidRPr="00774679" w:rsidRDefault="00B039A0" w:rsidP="00774679">
      <w:pPr>
        <w:spacing w:after="0"/>
        <w:jc w:val="both"/>
        <w:rPr>
          <w:rFonts w:ascii="Times New Roman" w:hAnsi="Times New Roman" w:cs="Times New Roman"/>
          <w:sz w:val="24"/>
          <w:szCs w:val="24"/>
        </w:rPr>
      </w:pPr>
      <w:bookmarkStart w:id="0" w:name="_GoBack"/>
      <w:bookmarkEnd w:id="0"/>
    </w:p>
    <w:p w:rsidR="00774679" w:rsidRDefault="009656AB" w:rsidP="009656AB">
      <w:p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Подготовка Заключения КСК                                                                                          6</w:t>
      </w:r>
    </w:p>
    <w:p w:rsidR="009656AB" w:rsidRPr="00774679" w:rsidRDefault="009656AB" w:rsidP="009656AB">
      <w:pPr>
        <w:spacing w:after="0"/>
        <w:jc w:val="both"/>
        <w:rPr>
          <w:rFonts w:ascii="Times New Roman" w:hAnsi="Times New Roman" w:cs="Times New Roman"/>
          <w:sz w:val="24"/>
          <w:szCs w:val="24"/>
        </w:rPr>
      </w:pP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ab/>
        <w:t>Приложение № 1. Основные этапы проведения внешней провер</w:t>
      </w:r>
      <w:r w:rsidR="009656AB">
        <w:rPr>
          <w:rFonts w:ascii="Times New Roman" w:hAnsi="Times New Roman" w:cs="Times New Roman"/>
          <w:sz w:val="24"/>
          <w:szCs w:val="24"/>
        </w:rPr>
        <w:t>ки годовой бюджетной отчетности                                                                                                                 8</w:t>
      </w: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rPr>
          <w:rFonts w:ascii="Times New Roman" w:hAnsi="Times New Roman" w:cs="Times New Roman"/>
          <w:sz w:val="24"/>
          <w:szCs w:val="24"/>
        </w:rPr>
      </w:pPr>
      <w:r w:rsidRPr="00774679">
        <w:rPr>
          <w:rFonts w:ascii="Times New Roman" w:hAnsi="Times New Roman" w:cs="Times New Roman"/>
          <w:sz w:val="24"/>
          <w:szCs w:val="24"/>
        </w:rPr>
        <w:tab/>
      </w:r>
    </w:p>
    <w:p w:rsidR="00774679" w:rsidRP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9656AB" w:rsidRDefault="009656AB" w:rsidP="00774679">
      <w:pPr>
        <w:spacing w:after="0"/>
        <w:rPr>
          <w:rFonts w:ascii="Times New Roman" w:hAnsi="Times New Roman" w:cs="Times New Roman"/>
          <w:sz w:val="24"/>
          <w:szCs w:val="24"/>
        </w:rPr>
      </w:pPr>
    </w:p>
    <w:p w:rsidR="009656AB" w:rsidRDefault="009656AB"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jc w:val="center"/>
        <w:rPr>
          <w:rFonts w:ascii="Times New Roman" w:hAnsi="Times New Roman" w:cs="Times New Roman"/>
          <w:b/>
          <w:sz w:val="24"/>
          <w:szCs w:val="24"/>
        </w:rPr>
      </w:pPr>
      <w:r w:rsidRPr="00774679">
        <w:rPr>
          <w:rFonts w:ascii="Times New Roman" w:hAnsi="Times New Roman" w:cs="Times New Roman"/>
          <w:b/>
          <w:sz w:val="24"/>
          <w:szCs w:val="24"/>
        </w:rPr>
        <w:lastRenderedPageBreak/>
        <w:t>1. Общие положения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1.1. </w:t>
      </w:r>
      <w:proofErr w:type="gramStart"/>
      <w:r w:rsidRPr="00774679">
        <w:rPr>
          <w:rFonts w:ascii="Times New Roman" w:hAnsi="Times New Roman" w:cs="Times New Roman"/>
          <w:sz w:val="24"/>
          <w:szCs w:val="24"/>
        </w:rPr>
        <w:t>Стандарт внешнего муниципального финансового контроля «Проведение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 (далее – Стандарт) разработан во исполнение положений ст. 264.4 Бюджетного кодекса Российской Федерации, ст. 9 и ст. 11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w:t>
      </w:r>
      <w:proofErr w:type="gramEnd"/>
      <w:r w:rsidRPr="00774679">
        <w:rPr>
          <w:rFonts w:ascii="Times New Roman" w:hAnsi="Times New Roman" w:cs="Times New Roman"/>
          <w:sz w:val="24"/>
          <w:szCs w:val="24"/>
        </w:rPr>
        <w:t xml:space="preserve"> образований».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1.2. При адаптации Стандарта учитываются положения Устава Кемского муниципального района, Положения Контрольно-счетном комитете Кемского муниципального района, Положения о бюджетном процессе в </w:t>
      </w:r>
      <w:proofErr w:type="spellStart"/>
      <w:r w:rsidRPr="00774679">
        <w:rPr>
          <w:rFonts w:ascii="Times New Roman" w:hAnsi="Times New Roman" w:cs="Times New Roman"/>
          <w:sz w:val="24"/>
          <w:szCs w:val="24"/>
        </w:rPr>
        <w:t>Кемском</w:t>
      </w:r>
      <w:proofErr w:type="spellEnd"/>
      <w:r w:rsidRPr="00774679">
        <w:rPr>
          <w:rFonts w:ascii="Times New Roman" w:hAnsi="Times New Roman" w:cs="Times New Roman"/>
          <w:sz w:val="24"/>
          <w:szCs w:val="24"/>
        </w:rPr>
        <w:t xml:space="preserve"> муниципальном районе.</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1.3. </w:t>
      </w:r>
      <w:proofErr w:type="gramStart"/>
      <w:r w:rsidRPr="00774679">
        <w:rPr>
          <w:rFonts w:ascii="Times New Roman" w:hAnsi="Times New Roman" w:cs="Times New Roman"/>
          <w:sz w:val="24"/>
          <w:szCs w:val="24"/>
        </w:rPr>
        <w:t>Стандарт разработан в соответствии с Общими требованиями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утвержденными Коллегией Счетной палаты Российской Федерации (постановление Коллегии Счетной палаты Российской Федерации от 29.03.2022 № 2ПК), типовым стандартом внешнего муниципального финансового контроля «Организация и проведение внешней проверки годового отчета об исполнении бюджета</w:t>
      </w:r>
      <w:proofErr w:type="gramEnd"/>
      <w:r w:rsidRPr="00774679">
        <w:rPr>
          <w:rFonts w:ascii="Times New Roman" w:hAnsi="Times New Roman" w:cs="Times New Roman"/>
          <w:sz w:val="24"/>
          <w:szCs w:val="24"/>
        </w:rPr>
        <w:t xml:space="preserve"> субъекта Российской Федерации (местного бюджета)» (рекомендован решением Президиума Совета контрольно-счетных органов при Счетной палате Российской Федерации 03.06.2015, протокол № 2-ПКСО).</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В случае внесения изменений в документы, указанные в пунктах 1.1., 1.2., 1.3. Стандарта (принятие их в новой редакции), Стандарт продолжает применяться с учетом соответствующих изменений (новой редакции).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1.4. Стандарт относится к специальной группе стандартов. В части, неурегулированной данным стандартом, участникам внешней проверки необходимо руководствоваться действующими в Контрольно-счетном комитете Кемского муниципального района стандартами, регламентирующими порядок проведения контрольных и экспертно-аналитических мероприятий.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1.5. При организации и проведении </w:t>
      </w:r>
      <w:proofErr w:type="gramStart"/>
      <w:r w:rsidRPr="00774679">
        <w:rPr>
          <w:rFonts w:ascii="Times New Roman" w:hAnsi="Times New Roman" w:cs="Times New Roman"/>
          <w:sz w:val="24"/>
          <w:szCs w:val="24"/>
        </w:rPr>
        <w:t>проверки достоверности годовой бюджетной отчетности главных администраторов средств</w:t>
      </w:r>
      <w:proofErr w:type="gramEnd"/>
      <w:r w:rsidRPr="00774679">
        <w:rPr>
          <w:rFonts w:ascii="Times New Roman" w:hAnsi="Times New Roman" w:cs="Times New Roman"/>
          <w:sz w:val="24"/>
          <w:szCs w:val="24"/>
        </w:rPr>
        <w:t xml:space="preserve"> бюджета, годового отчета об исполнении бюджета участники внешней проверки руководствуются: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Бюджетным кодексом Российской Федерации;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Положением о Контрольно-счетном комитете Кемского муниципального района;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Положением о бюджетном процессе Кемского муниципального района;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Уставом Кемского муниципального района;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Федеральными законами, нормативными правовыми актами в зависимости от специфики объекта проверки и рассматриваемых вопросов;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Методическими рекомендациями, разработанными в развитие Стандарта.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1.6. Целью Стандарта является установление единых организационно-правовых, информационных, методических основ проведения комплекса контрольных и (или) экспертно-аналитических мероприятий и подготовки Заключения Контрольно-счетного </w:t>
      </w:r>
      <w:r w:rsidRPr="00774679">
        <w:rPr>
          <w:rFonts w:ascii="Times New Roman" w:hAnsi="Times New Roman" w:cs="Times New Roman"/>
          <w:sz w:val="24"/>
          <w:szCs w:val="24"/>
        </w:rPr>
        <w:lastRenderedPageBreak/>
        <w:t>комитета Кемского муниципального района по отчету об исполнении бюджета за истекший финансовый год (далее – Заключения КСК).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1.7. Задачи, решаемые Стандартом:</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определение основных этапов организации и проведения комплекса контрольных и (или) экспертно-аналитических мероприятий и подготовки Заключения КСК;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установление требований к содержанию комплекса контрольных и (или) экспертно-аналитических мероприятий и оформлению результатов его проведения;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определение структуры, содержания и основных требований к Заключению КСК;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установление взаимодействия между участниками внешней проверки в ходе проведения контрольных и (или) экспертно-аналитических мероприятий и подготовки Заключения КСК.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1.8. </w:t>
      </w:r>
      <w:proofErr w:type="gramStart"/>
      <w:r w:rsidRPr="00774679">
        <w:rPr>
          <w:rFonts w:ascii="Times New Roman" w:hAnsi="Times New Roman" w:cs="Times New Roman"/>
          <w:sz w:val="24"/>
          <w:szCs w:val="24"/>
        </w:rPr>
        <w:t>Стандарт предназначен для использования сотрудниками Контрольно-счетного комитета Кемского муниципального района (далее – контрольно-счетный орган, КСК), специалистами и экспертами, привлекаемыми КСК (далее – участники внешней проверки), при организации и проведении проверки достоверности годовой бюджетной отчетности главных администраторов средств бюджета, годового отчета об исполнении бюджета (далее – внешняя проверка), и подготовки на их основе Заключения КСК по отчету об исполнении бюджета за истекший финансовый год.</w:t>
      </w:r>
      <w:proofErr w:type="gramEnd"/>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Под внешней проверкой в настоящем Стандарте понимается совокупность взаимосвязанных контрольных и (или) экспертно-аналитических мероприятий, объединенных общим предметом и позволяющих подготовить Заключение КСК на отчет об исполнении бюджета в соответствии с требованиями бюджетного законодательства.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1.9. Объекты внешней проверки: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финансовый орган, организующий исполнение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главные администраторы бюджетных средств – органы местного самоуправления, отраслевые (функциональные) и территориальные органы исполнительно-распорядительного органа муниципального образования, муниципальные органы.</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1.10. Основные термины и понятия применяются в соответствии с Бюджетным Кодексом Российской Федерации.</w:t>
      </w: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jc w:val="center"/>
        <w:rPr>
          <w:rFonts w:ascii="Times New Roman" w:hAnsi="Times New Roman" w:cs="Times New Roman"/>
          <w:b/>
          <w:sz w:val="24"/>
          <w:szCs w:val="24"/>
        </w:rPr>
      </w:pPr>
      <w:r w:rsidRPr="00774679">
        <w:rPr>
          <w:rFonts w:ascii="Times New Roman" w:hAnsi="Times New Roman" w:cs="Times New Roman"/>
          <w:b/>
          <w:sz w:val="24"/>
          <w:szCs w:val="24"/>
        </w:rPr>
        <w:t>2. Основные этапы проведения внешней проверки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2.1. Внешняя проверка отчета об исполнении бюджета включает в себя следующие этапы:</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подготовительный этап;</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камеральная проверка отчетности главных администраторов бюджетных средств;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комплекс контрольных и (или) экспертно-аналитических мероприятий;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подготовка Заключения КСК.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Основные этапы проведения внешней проверки годовой бюджетной отчетности приведены в Приложении № 1. </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2.2. На подготовительном этапе изучается нормативно-правовая база в части исполнения решения о бюджете муниципального образования за истекший финансовый год, формирования бюджетной отчетности, составляются рабочие таблицы, разрабатывается схема взаимодействия участников внешней проверки. Также анализируются данные ранее проведенных самостоятельных контрольных мероприятий по проверке исполнения бюджета за истекший финансовый год.</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lastRenderedPageBreak/>
        <w:t>2.3. С момента представления главными администраторами бюджетных средств годовой бюджетной отчетности осуществляется камеральная проверка полученных документов.</w:t>
      </w:r>
    </w:p>
    <w:p w:rsidR="00774679" w:rsidRPr="00774679" w:rsidRDefault="00774679" w:rsidP="00774679">
      <w:pPr>
        <w:spacing w:after="0"/>
        <w:jc w:val="both"/>
        <w:rPr>
          <w:rFonts w:ascii="Times New Roman" w:hAnsi="Times New Roman" w:cs="Times New Roman"/>
          <w:sz w:val="24"/>
          <w:szCs w:val="24"/>
        </w:rPr>
      </w:pPr>
      <w:proofErr w:type="gramStart"/>
      <w:r w:rsidRPr="00774679">
        <w:rPr>
          <w:rFonts w:ascii="Times New Roman" w:hAnsi="Times New Roman" w:cs="Times New Roman"/>
          <w:sz w:val="24"/>
          <w:szCs w:val="24"/>
        </w:rPr>
        <w:t>Камеральная проверка включает в себя проверку своевременности и полноты представленных документов, соблюдение требований порядка составления отчетности, полноты заполнения реквизитов представленных форм отчетности, соответствие отчетности, представленной на бумажных носителях электронной версии, соблюдение контрольных соотношений, соответствие плановых показателей решению о бюджете муниципального образования за истекший финансовый год, сводной бюджетной росписи.</w:t>
      </w:r>
      <w:proofErr w:type="gramEnd"/>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Камеральная проверка завершается оформлением соответствующих итогам камеральной проверки аналитических материалов.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2.4. Внешняя проверка включает в себя проверки достоверности бюджетной отчетности главных администраторов бюджетных средств и иные тематические контрольные и экспертно-аналитические проверки по вопросам, влияющим на формирование бюджетной отчетности.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Объекты внешней проверки утверждаются соответствующими локальными нормативными актами контрольно-счетного органа на основании предложений должностных лиц с учетом результатов камеральной проверки бюджетной отчетности.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Внешняя проверка осуществляется в соответствии со Стандартами внешнего муниципального финансового контроля, утверждаемыми КСК, с оформлением по итогам проверок соответствующих актов, заключений (отчетов).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2.5. Заключение контрольно-счетного органа по отчету об исполнении бюджета за истекший финансовый год подготавливается на основе:</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результатов камеральной проверки отчета об исполнении бюджета и бюджетной отчетности главных администраторов бюджетных средств;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результатов комплекса контрольных и (или) экспертно-аналитических мероприятий;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иных документов и материалов, характеризующих исполнение бюджета за истекший год, представленных с годовым отчетом об исполнении бюджета, а также по запросам КСК.</w:t>
      </w: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jc w:val="center"/>
        <w:rPr>
          <w:rFonts w:ascii="Times New Roman" w:hAnsi="Times New Roman" w:cs="Times New Roman"/>
          <w:b/>
          <w:sz w:val="24"/>
          <w:szCs w:val="24"/>
        </w:rPr>
      </w:pPr>
      <w:r w:rsidRPr="00774679">
        <w:rPr>
          <w:rFonts w:ascii="Times New Roman" w:hAnsi="Times New Roman" w:cs="Times New Roman"/>
          <w:b/>
          <w:sz w:val="24"/>
          <w:szCs w:val="24"/>
        </w:rPr>
        <w:t>3. Внешняя проверка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3.1. Целью внешней проверки является оценка достоверности отчетности об исполнении бюджета, выявление нарушений и недостатков, а также их возможных последствий.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3.2. Задачи внешней проверки: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 установление </w:t>
      </w:r>
      <w:proofErr w:type="gramStart"/>
      <w:r w:rsidRPr="00774679">
        <w:rPr>
          <w:rFonts w:ascii="Times New Roman" w:hAnsi="Times New Roman" w:cs="Times New Roman"/>
          <w:sz w:val="24"/>
          <w:szCs w:val="24"/>
        </w:rPr>
        <w:t>корректности заполнения отчетных форм главного администратора бюджетных средств</w:t>
      </w:r>
      <w:proofErr w:type="gramEnd"/>
      <w:r w:rsidRPr="00774679">
        <w:rPr>
          <w:rFonts w:ascii="Times New Roman" w:hAnsi="Times New Roman" w:cs="Times New Roman"/>
          <w:sz w:val="24"/>
          <w:szCs w:val="24"/>
        </w:rPr>
        <w:t xml:space="preserve"> в части суммирования соответствующих данных подведомственных получателей бюджетных средств;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установление законности составления бюджетной росписи и доведения лимитов бюджетных обязательств;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установление своевременности и полноты формирования муниципальных заданий, а также соглашений о порядке и условиях предоставления субсидии на финансовое обеспечение выполнения муниципального задания;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установление наличия и законности перемещений бюджетных ассигнований;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определение результативности бюджетных ассигнований на основе анализа отчетных данных;</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lastRenderedPageBreak/>
        <w:t>– установление соответствия бюджетной отчетности регистрам бухгалтерского учета и первичным документам;</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установление причин выявленных нарушений и недостатков.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3.3. При осуществлении внешней проверки главные администраторы бюджетных сре</w:t>
      </w:r>
      <w:proofErr w:type="gramStart"/>
      <w:r w:rsidRPr="00774679">
        <w:rPr>
          <w:rFonts w:ascii="Times New Roman" w:hAnsi="Times New Roman" w:cs="Times New Roman"/>
          <w:sz w:val="24"/>
          <w:szCs w:val="24"/>
        </w:rPr>
        <w:t>дств пр</w:t>
      </w:r>
      <w:proofErr w:type="gramEnd"/>
      <w:r w:rsidRPr="00774679">
        <w:rPr>
          <w:rFonts w:ascii="Times New Roman" w:hAnsi="Times New Roman" w:cs="Times New Roman"/>
          <w:sz w:val="24"/>
          <w:szCs w:val="24"/>
        </w:rPr>
        <w:t>оверяются как: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главные администраторы доходов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администраторы доходов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главные администраторы источников финансирования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администраторы источников финансирования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главные распорядители средств бюджета (ГРБС);</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распорядители средств бюджета по подведомственным получателям;</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органы, регулирующие предоставление субсидий;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получатели бюджетных средств.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3.4. </w:t>
      </w:r>
      <w:proofErr w:type="gramStart"/>
      <w:r w:rsidRPr="00774679">
        <w:rPr>
          <w:rFonts w:ascii="Times New Roman" w:hAnsi="Times New Roman" w:cs="Times New Roman"/>
          <w:sz w:val="24"/>
          <w:szCs w:val="24"/>
        </w:rPr>
        <w:t>Оценка отчета об исполнении бюджета по доходам включает в себя определение соответствия показателей бюджетной отчетности показателям, учтенным в кассовом плане бюджета, анализ выполнения данных показателей, анализ эффективности деятельности главного администратора доходов по контролю правильности исчисления, полноты и своевременности уплаты платежей в бюджет, взыскания и принятия решений по возврату излишне уплаченных платежей.</w:t>
      </w:r>
      <w:proofErr w:type="gramEnd"/>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3.5. Проверка использования бюджетных ассигнований включает в себя: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анализ обоснованности внесения изменений в бюджетную смету, роспись;</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анализ выполнения показателей, утвержденных сводной бюджетной росписью;</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анализ причин неиспользования бюджетных ассигнований;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подтверждение расходов регистрами учета и первичными документами (может быть проведено выборочным способом).</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3.6. Проверке и анализу подлежит каждая форма бюджетной отчетности, включая Пояснительную записку к отчету.</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3.7. При рассмотрении </w:t>
      </w:r>
      <w:proofErr w:type="gramStart"/>
      <w:r w:rsidRPr="00774679">
        <w:rPr>
          <w:rFonts w:ascii="Times New Roman" w:hAnsi="Times New Roman" w:cs="Times New Roman"/>
          <w:sz w:val="24"/>
          <w:szCs w:val="24"/>
        </w:rPr>
        <w:t>вопросов результативности деятельности главных администраторов бюджетных средств</w:t>
      </w:r>
      <w:proofErr w:type="gramEnd"/>
      <w:r w:rsidRPr="00774679">
        <w:rPr>
          <w:rFonts w:ascii="Times New Roman" w:hAnsi="Times New Roman" w:cs="Times New Roman"/>
          <w:sz w:val="24"/>
          <w:szCs w:val="24"/>
        </w:rPr>
        <w:t xml:space="preserve"> рекомендуется использовать отчеты об исполнении муниципальных программ, ведомственных целевых программ.</w:t>
      </w: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jc w:val="center"/>
        <w:rPr>
          <w:rFonts w:ascii="Times New Roman" w:hAnsi="Times New Roman" w:cs="Times New Roman"/>
          <w:b/>
          <w:sz w:val="24"/>
          <w:szCs w:val="24"/>
        </w:rPr>
      </w:pPr>
      <w:r w:rsidRPr="00774679">
        <w:rPr>
          <w:rFonts w:ascii="Times New Roman" w:hAnsi="Times New Roman" w:cs="Times New Roman"/>
          <w:b/>
          <w:sz w:val="24"/>
          <w:szCs w:val="24"/>
        </w:rPr>
        <w:t>4. Подготовка Заключения КСК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4.1. Заключение КСК по отчету об исполнении бюджета может включать в себя следующие разделы:</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Общие положения;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Изменение плановых показателей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Исполнение бюджета по доходам;</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Исполнение бюджета по расходам;</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Исполнение программной части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Результат исполнения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Состояние муниципального долга;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Оформление годовой бюджетной отчетности;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Выводы и предложения.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4.2. Общие положения содержат информацию о соответствии состава бюджетной отчетности требованиям Инструкции о порядке составления и представления отчетности, </w:t>
      </w:r>
      <w:r w:rsidRPr="00774679">
        <w:rPr>
          <w:rFonts w:ascii="Times New Roman" w:hAnsi="Times New Roman" w:cs="Times New Roman"/>
          <w:sz w:val="24"/>
          <w:szCs w:val="24"/>
        </w:rPr>
        <w:lastRenderedPageBreak/>
        <w:t>о соблюдении сроков её представления в контрольно-счетный орган, о соответствии показателей отчета об исполнении бюджета суммарным показателям бюджетной отчетности главных администраторов бюджетных средств.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4.3. Изменение плановых показателей основных характеристик бюджета анализируется согласно принятым в истекшем году решениям по внесению изменений в бюджет.</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В данном разделе отражаются основные причины вносимых изменений как в целом по бюджету, так и в разрезе отдельных администраторов бюджетных средств.</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4.4. Исполнение бюджета по доходам анализируется в разрезе налоговых, неналоговых доходов и безвозмездных поступлений от других бюджетов бюджетной системы. </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Налоговые и неналоговые доходы рекомендуется анализировать в разрезе основных видов, безвозмездные поступления – по наиболее </w:t>
      </w:r>
      <w:proofErr w:type="gramStart"/>
      <w:r w:rsidRPr="00774679">
        <w:rPr>
          <w:rFonts w:ascii="Times New Roman" w:hAnsi="Times New Roman" w:cs="Times New Roman"/>
          <w:sz w:val="24"/>
          <w:szCs w:val="24"/>
        </w:rPr>
        <w:t>значительным</w:t>
      </w:r>
      <w:proofErr w:type="gramEnd"/>
      <w:r w:rsidRPr="00774679">
        <w:rPr>
          <w:rFonts w:ascii="Times New Roman" w:hAnsi="Times New Roman" w:cs="Times New Roman"/>
          <w:sz w:val="24"/>
          <w:szCs w:val="24"/>
        </w:rPr>
        <w:t xml:space="preserve"> в суммовом выражении. Исполнение бюджета по доходам анализируется с точки зрения соответствия Основным направлениям бюджетной и налоговой политики.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В данном разделе отражается выполнение прогнозных значений по доходам, устанавливаются причины и последствия отклонений от плановых значений.</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4.5. Исполнение бюджета по расходам анализируется с точки зрения соответствия Основным направлениям бюджетной и налоговой политики.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Определяется освоение бюджетных ассигнований в разрезе функциональной и ведомственной структуры расходов бюджета, муниципальных заданий, выявляются причины </w:t>
      </w:r>
      <w:proofErr w:type="spellStart"/>
      <w:r w:rsidRPr="00774679">
        <w:rPr>
          <w:rFonts w:ascii="Times New Roman" w:hAnsi="Times New Roman" w:cs="Times New Roman"/>
          <w:sz w:val="24"/>
          <w:szCs w:val="24"/>
        </w:rPr>
        <w:t>неосвоения</w:t>
      </w:r>
      <w:proofErr w:type="spellEnd"/>
      <w:r w:rsidRPr="00774679">
        <w:rPr>
          <w:rFonts w:ascii="Times New Roman" w:hAnsi="Times New Roman" w:cs="Times New Roman"/>
          <w:sz w:val="24"/>
          <w:szCs w:val="24"/>
        </w:rPr>
        <w:t>.</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Отдельно рассматривается использование резервного фонда муниципального образования.</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 xml:space="preserve">4.6. Исполнение программной части бюджета раскрывается на основе анализа бюджетных ассигнований, выделенных на реализацию муниципальных и ведомственных программ. Приводится динамика ассигнований в целом по программам и в разрезе переходящих программ. Устанавливаются причины внесения изменений в программы, </w:t>
      </w:r>
      <w:proofErr w:type="spellStart"/>
      <w:r w:rsidRPr="00774679">
        <w:rPr>
          <w:rFonts w:ascii="Times New Roman" w:hAnsi="Times New Roman" w:cs="Times New Roman"/>
          <w:sz w:val="24"/>
          <w:szCs w:val="24"/>
        </w:rPr>
        <w:t>неосвоения</w:t>
      </w:r>
      <w:proofErr w:type="spellEnd"/>
      <w:r w:rsidRPr="00774679">
        <w:rPr>
          <w:rFonts w:ascii="Times New Roman" w:hAnsi="Times New Roman" w:cs="Times New Roman"/>
          <w:sz w:val="24"/>
          <w:szCs w:val="24"/>
        </w:rPr>
        <w:t xml:space="preserve"> бюджетных ассигнований. Определяется влияние изменений на результативность программ.</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4.7. Результатом исполнения бюджета является профицит или дефицит бюджета. Проводится сравнение плановых и фактических показателей. Устанавливаются факторы, повлиявшие на результат. Определяются источники финансирования дефицита бюджета.</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4.8. Состояние муниципального долга рассматривается как в целом по бюджету за счет привлечения сторонних сре</w:t>
      </w:r>
      <w:proofErr w:type="gramStart"/>
      <w:r w:rsidRPr="00774679">
        <w:rPr>
          <w:rFonts w:ascii="Times New Roman" w:hAnsi="Times New Roman" w:cs="Times New Roman"/>
          <w:sz w:val="24"/>
          <w:szCs w:val="24"/>
        </w:rPr>
        <w:t>дств в к</w:t>
      </w:r>
      <w:proofErr w:type="gramEnd"/>
      <w:r w:rsidRPr="00774679">
        <w:rPr>
          <w:rFonts w:ascii="Times New Roman" w:hAnsi="Times New Roman" w:cs="Times New Roman"/>
          <w:sz w:val="24"/>
          <w:szCs w:val="24"/>
        </w:rPr>
        <w:t>ачестве источника финансирования дефицита бюджета и за счет предоставления муниципальных гарантий, так и в разрезе главных администраторов бюджетных средств в части дебиторской и кредиторской задолженности.</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4.9. Выявляемые в ходе внешней проверки другие нарушения и недостатки, в том числе в части оформления форм, таблиц и текстовой части годовой бюджетной отчетности отражаются в соответствующем разделе Заключения КСК.</w:t>
      </w:r>
    </w:p>
    <w:p w:rsidR="00774679" w:rsidRPr="00774679" w:rsidRDefault="00774679" w:rsidP="00774679">
      <w:pPr>
        <w:spacing w:after="0"/>
        <w:jc w:val="both"/>
        <w:rPr>
          <w:rFonts w:ascii="Times New Roman" w:hAnsi="Times New Roman" w:cs="Times New Roman"/>
          <w:sz w:val="24"/>
          <w:szCs w:val="24"/>
        </w:rPr>
      </w:pPr>
      <w:r w:rsidRPr="00774679">
        <w:rPr>
          <w:rFonts w:ascii="Times New Roman" w:hAnsi="Times New Roman" w:cs="Times New Roman"/>
          <w:sz w:val="24"/>
          <w:szCs w:val="24"/>
        </w:rPr>
        <w:t>4.10. По итогам внешней проверки формулируется вывод о достоверности представленного отчета об исполнении бюджета. Обобщаются выводы по каждому разделу Заключения, выявляются причинно-следственные связи и разрабатываются предложения в части повышения эффективности бюджетного процесса.</w:t>
      </w:r>
    </w:p>
    <w:p w:rsidR="00774679" w:rsidRDefault="00774679" w:rsidP="00774679">
      <w:pPr>
        <w:spacing w:after="0"/>
        <w:rPr>
          <w:rFonts w:ascii="Times New Roman" w:hAnsi="Times New Roman" w:cs="Times New Roman"/>
          <w:sz w:val="24"/>
          <w:szCs w:val="24"/>
        </w:rPr>
      </w:pPr>
    </w:p>
    <w:p w:rsidR="00774679" w:rsidRDefault="00774679" w:rsidP="00774679">
      <w:pPr>
        <w:spacing w:after="0"/>
        <w:rPr>
          <w:rFonts w:ascii="Times New Roman" w:hAnsi="Times New Roman" w:cs="Times New Roman"/>
          <w:sz w:val="24"/>
          <w:szCs w:val="24"/>
        </w:rPr>
      </w:pPr>
    </w:p>
    <w:p w:rsidR="00774679" w:rsidRPr="00774679" w:rsidRDefault="00774679" w:rsidP="00774679">
      <w:pPr>
        <w:spacing w:after="0"/>
        <w:jc w:val="right"/>
        <w:rPr>
          <w:rFonts w:ascii="Times New Roman" w:hAnsi="Times New Roman" w:cs="Times New Roman"/>
          <w:sz w:val="24"/>
          <w:szCs w:val="24"/>
        </w:rPr>
      </w:pPr>
      <w:r w:rsidRPr="00774679">
        <w:rPr>
          <w:rFonts w:ascii="Times New Roman" w:hAnsi="Times New Roman" w:cs="Times New Roman"/>
          <w:sz w:val="24"/>
          <w:szCs w:val="24"/>
        </w:rPr>
        <w:lastRenderedPageBreak/>
        <w:t>Приложение № 1</w:t>
      </w: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spacing w:after="0"/>
        <w:jc w:val="center"/>
        <w:rPr>
          <w:rFonts w:ascii="Times New Roman" w:hAnsi="Times New Roman" w:cs="Times New Roman"/>
          <w:b/>
          <w:sz w:val="24"/>
          <w:szCs w:val="24"/>
        </w:rPr>
      </w:pPr>
      <w:r w:rsidRPr="00774679">
        <w:rPr>
          <w:rFonts w:ascii="Times New Roman" w:hAnsi="Times New Roman" w:cs="Times New Roman"/>
          <w:b/>
          <w:sz w:val="24"/>
          <w:szCs w:val="24"/>
        </w:rPr>
        <w:t>Основные этапы проведения внешней проверки</w:t>
      </w:r>
    </w:p>
    <w:p w:rsidR="00774679" w:rsidRPr="00774679" w:rsidRDefault="00774679" w:rsidP="00774679">
      <w:pPr>
        <w:spacing w:after="0"/>
        <w:jc w:val="center"/>
        <w:rPr>
          <w:rFonts w:ascii="Times New Roman" w:hAnsi="Times New Roman" w:cs="Times New Roman"/>
          <w:b/>
          <w:sz w:val="24"/>
          <w:szCs w:val="24"/>
        </w:rPr>
      </w:pPr>
      <w:r w:rsidRPr="00774679">
        <w:rPr>
          <w:rFonts w:ascii="Times New Roman" w:hAnsi="Times New Roman" w:cs="Times New Roman"/>
          <w:b/>
          <w:sz w:val="24"/>
          <w:szCs w:val="24"/>
        </w:rPr>
        <w:t>годовой бюджетной отчетности</w:t>
      </w:r>
    </w:p>
    <w:p w:rsidR="00774679" w:rsidRPr="00774679" w:rsidRDefault="00774679" w:rsidP="00774679">
      <w:pPr>
        <w:spacing w:after="0"/>
        <w:rPr>
          <w:rFonts w:ascii="Times New Roman" w:hAnsi="Times New Roman" w:cs="Times New Roman"/>
          <w:sz w:val="24"/>
          <w:szCs w:val="24"/>
        </w:rPr>
      </w:pP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b/>
          <w:i/>
          <w:sz w:val="24"/>
          <w:szCs w:val="24"/>
        </w:rPr>
      </w:pPr>
      <w:r w:rsidRPr="00774679">
        <w:rPr>
          <w:rFonts w:ascii="Times New Roman" w:hAnsi="Times New Roman" w:cs="Times New Roman"/>
          <w:b/>
          <w:i/>
          <w:sz w:val="24"/>
          <w:szCs w:val="24"/>
        </w:rPr>
        <w:t>Наименование мероприятия</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b/>
          <w:i/>
          <w:sz w:val="24"/>
          <w:szCs w:val="24"/>
        </w:rPr>
      </w:pPr>
      <w:r w:rsidRPr="00774679">
        <w:rPr>
          <w:rFonts w:ascii="Times New Roman" w:hAnsi="Times New Roman" w:cs="Times New Roman"/>
          <w:b/>
          <w:i/>
          <w:sz w:val="24"/>
          <w:szCs w:val="24"/>
        </w:rPr>
        <w:t>Подготовительный этап</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изучение нормативной базы в части исполнения решения о бюджете муниципального образования за истекший финансовый год, формирования бюджетной отчетности, анализ данных ранее проведенных самостоятельных контрольных и (или) экспертно-аналитических мероприятий по проверке исполнения бюджета</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подготовка шаблонов аналитических таблиц, шаблонов рабочей документации для камеральной проверки</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разработка схемы взаимодействия участников внешней проверки</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контроль поступления годовой бюджетной отчетности ГРБС</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b/>
          <w:i/>
          <w:sz w:val="24"/>
          <w:szCs w:val="24"/>
        </w:rPr>
      </w:pPr>
      <w:r w:rsidRPr="00774679">
        <w:rPr>
          <w:rFonts w:ascii="Times New Roman" w:hAnsi="Times New Roman" w:cs="Times New Roman"/>
          <w:b/>
          <w:i/>
          <w:sz w:val="24"/>
          <w:szCs w:val="24"/>
        </w:rPr>
        <w:t>Камеральная проверка</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проверка соответствия состава представленных документов требованиям нормативно – правовых актов</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проверка полноты заполнения всех необходимых реквизитов и показателей форм и таблиц бюджетной отчетности</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соблюдение требований порядка составления отчетности</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соответствие показателей отчетности, представленной на бумажных носителях, электронной версии</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проверка соблюдения контрольных соотношений</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проверка соответствия плановых показателей решению о бюджете за истекший финансовый год и сводной бюджетной росписи</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xml:space="preserve">– заполнение соответствующих форм аналитических таблиц </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определение объектов и тематики комплекса контрольных и (или) экспертно-аналитических мероприятий</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b/>
          <w:i/>
          <w:sz w:val="24"/>
          <w:szCs w:val="24"/>
        </w:rPr>
      </w:pPr>
      <w:r w:rsidRPr="00774679">
        <w:rPr>
          <w:rFonts w:ascii="Times New Roman" w:hAnsi="Times New Roman" w:cs="Times New Roman"/>
          <w:b/>
          <w:i/>
          <w:sz w:val="24"/>
          <w:szCs w:val="24"/>
        </w:rPr>
        <w:t>Комплекс контрольных и (или) экспертно-аналитических мероприятий</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оформление приказов/распоряжений и программ мероприятий</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проведение мероприятий в соответствии с утвержденными программами</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оформление актов (заключений)</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s="Times New Roman"/>
          <w:b/>
          <w:i/>
          <w:sz w:val="24"/>
          <w:szCs w:val="24"/>
        </w:rPr>
      </w:pPr>
      <w:r w:rsidRPr="00774679">
        <w:rPr>
          <w:rFonts w:ascii="Times New Roman" w:hAnsi="Times New Roman" w:cs="Times New Roman"/>
          <w:b/>
          <w:i/>
          <w:sz w:val="24"/>
          <w:szCs w:val="24"/>
        </w:rPr>
        <w:t>Подготовка Заключения КСО</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изучение отчета об исполнении бюджета за истекший финансовый год</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анализ результатов контрольных и (или) экспертно-аналитических мероприятий</w:t>
      </w:r>
    </w:p>
    <w:p w:rsidR="00774679" w:rsidRPr="00774679" w:rsidRDefault="00774679" w:rsidP="00774679">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imes New Roman" w:hAnsi="Times New Roman" w:cs="Times New Roman"/>
          <w:sz w:val="24"/>
          <w:szCs w:val="24"/>
        </w:rPr>
      </w:pPr>
      <w:r w:rsidRPr="00774679">
        <w:rPr>
          <w:rFonts w:ascii="Times New Roman" w:hAnsi="Times New Roman" w:cs="Times New Roman"/>
          <w:sz w:val="24"/>
          <w:szCs w:val="24"/>
        </w:rPr>
        <w:t>– подготовка Заключения КСО</w:t>
      </w:r>
    </w:p>
    <w:p w:rsidR="00D153F5" w:rsidRDefault="00D153F5"/>
    <w:sectPr w:rsidR="00D153F5" w:rsidSect="0011327F">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73D" w:rsidRDefault="0083473D" w:rsidP="00774679">
      <w:pPr>
        <w:spacing w:after="0" w:line="240" w:lineRule="auto"/>
      </w:pPr>
      <w:r>
        <w:separator/>
      </w:r>
    </w:p>
  </w:endnote>
  <w:endnote w:type="continuationSeparator" w:id="0">
    <w:p w:rsidR="0083473D" w:rsidRDefault="0083473D" w:rsidP="0077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310470"/>
      <w:docPartObj>
        <w:docPartGallery w:val="Page Numbers (Bottom of Page)"/>
        <w:docPartUnique/>
      </w:docPartObj>
    </w:sdtPr>
    <w:sdtContent>
      <w:p w:rsidR="0011327F" w:rsidRDefault="0011327F">
        <w:pPr>
          <w:pStyle w:val="a8"/>
          <w:jc w:val="center"/>
        </w:pPr>
        <w:r>
          <w:fldChar w:fldCharType="begin"/>
        </w:r>
        <w:r>
          <w:instrText>PAGE   \* MERGEFORMAT</w:instrText>
        </w:r>
        <w:r>
          <w:fldChar w:fldCharType="separate"/>
        </w:r>
        <w:r w:rsidR="00B039A0">
          <w:rPr>
            <w:noProof/>
          </w:rPr>
          <w:t>1</w:t>
        </w:r>
        <w:r>
          <w:fldChar w:fldCharType="end"/>
        </w:r>
      </w:p>
    </w:sdtContent>
  </w:sdt>
  <w:p w:rsidR="00774679" w:rsidRDefault="007746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73D" w:rsidRDefault="0083473D" w:rsidP="00774679">
      <w:pPr>
        <w:spacing w:after="0" w:line="240" w:lineRule="auto"/>
      </w:pPr>
      <w:r>
        <w:separator/>
      </w:r>
    </w:p>
  </w:footnote>
  <w:footnote w:type="continuationSeparator" w:id="0">
    <w:p w:rsidR="0083473D" w:rsidRDefault="0083473D" w:rsidP="00774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02FE3"/>
    <w:multiLevelType w:val="hybridMultilevel"/>
    <w:tmpl w:val="9D2C2B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87"/>
    <w:rsid w:val="0011327F"/>
    <w:rsid w:val="00774679"/>
    <w:rsid w:val="0083473D"/>
    <w:rsid w:val="009656AB"/>
    <w:rsid w:val="00B039A0"/>
    <w:rsid w:val="00D153F5"/>
    <w:rsid w:val="00E3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6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679"/>
    <w:rPr>
      <w:rFonts w:ascii="Tahoma" w:hAnsi="Tahoma" w:cs="Tahoma"/>
      <w:sz w:val="16"/>
      <w:szCs w:val="16"/>
    </w:rPr>
  </w:style>
  <w:style w:type="paragraph" w:styleId="a5">
    <w:name w:val="List Paragraph"/>
    <w:basedOn w:val="a"/>
    <w:uiPriority w:val="34"/>
    <w:qFormat/>
    <w:rsid w:val="00774679"/>
    <w:pPr>
      <w:ind w:left="720"/>
      <w:contextualSpacing/>
    </w:pPr>
  </w:style>
  <w:style w:type="paragraph" w:styleId="a6">
    <w:name w:val="header"/>
    <w:basedOn w:val="a"/>
    <w:link w:val="a7"/>
    <w:uiPriority w:val="99"/>
    <w:unhideWhenUsed/>
    <w:rsid w:val="007746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4679"/>
  </w:style>
  <w:style w:type="paragraph" w:styleId="a8">
    <w:name w:val="footer"/>
    <w:basedOn w:val="a"/>
    <w:link w:val="a9"/>
    <w:uiPriority w:val="99"/>
    <w:unhideWhenUsed/>
    <w:rsid w:val="007746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4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46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4679"/>
    <w:rPr>
      <w:rFonts w:ascii="Tahoma" w:hAnsi="Tahoma" w:cs="Tahoma"/>
      <w:sz w:val="16"/>
      <w:szCs w:val="16"/>
    </w:rPr>
  </w:style>
  <w:style w:type="paragraph" w:styleId="a5">
    <w:name w:val="List Paragraph"/>
    <w:basedOn w:val="a"/>
    <w:uiPriority w:val="34"/>
    <w:qFormat/>
    <w:rsid w:val="00774679"/>
    <w:pPr>
      <w:ind w:left="720"/>
      <w:contextualSpacing/>
    </w:pPr>
  </w:style>
  <w:style w:type="paragraph" w:styleId="a6">
    <w:name w:val="header"/>
    <w:basedOn w:val="a"/>
    <w:link w:val="a7"/>
    <w:uiPriority w:val="99"/>
    <w:unhideWhenUsed/>
    <w:rsid w:val="007746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4679"/>
  </w:style>
  <w:style w:type="paragraph" w:styleId="a8">
    <w:name w:val="footer"/>
    <w:basedOn w:val="a"/>
    <w:link w:val="a9"/>
    <w:uiPriority w:val="99"/>
    <w:unhideWhenUsed/>
    <w:rsid w:val="007746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C7AF-6D2F-4D96-90C7-B4F986BE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3</cp:revision>
  <dcterms:created xsi:type="dcterms:W3CDTF">2024-03-21T08:52:00Z</dcterms:created>
  <dcterms:modified xsi:type="dcterms:W3CDTF">2024-03-21T09:07:00Z</dcterms:modified>
</cp:coreProperties>
</file>