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3" w:rsidRDefault="005206D3" w:rsidP="00EE5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121F" w:rsidRDefault="00C47454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206D3" w:rsidRP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6D3">
        <w:rPr>
          <w:rFonts w:ascii="Times New Roman" w:hAnsi="Times New Roman" w:cs="Times New Roman"/>
          <w:sz w:val="28"/>
          <w:szCs w:val="28"/>
        </w:rPr>
        <w:t>постановлени</w:t>
      </w:r>
      <w:r w:rsidR="0088121F">
        <w:rPr>
          <w:rFonts w:ascii="Times New Roman" w:hAnsi="Times New Roman" w:cs="Times New Roman"/>
          <w:sz w:val="28"/>
          <w:szCs w:val="28"/>
        </w:rPr>
        <w:t>ем</w:t>
      </w:r>
      <w:r w:rsidRPr="005206D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06D3" w:rsidRP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BD020A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06D3">
        <w:rPr>
          <w:rFonts w:ascii="Times New Roman" w:hAnsi="Times New Roman" w:cs="Times New Roman"/>
          <w:sz w:val="28"/>
          <w:szCs w:val="28"/>
        </w:rPr>
        <w:t xml:space="preserve">т </w:t>
      </w:r>
      <w:r w:rsidR="00B80256">
        <w:rPr>
          <w:rFonts w:ascii="Times New Roman" w:hAnsi="Times New Roman" w:cs="Times New Roman"/>
          <w:sz w:val="28"/>
          <w:szCs w:val="28"/>
        </w:rPr>
        <w:t>«</w:t>
      </w:r>
      <w:r w:rsidRPr="005206D3">
        <w:rPr>
          <w:rFonts w:ascii="Times New Roman" w:hAnsi="Times New Roman" w:cs="Times New Roman"/>
          <w:sz w:val="28"/>
          <w:szCs w:val="28"/>
        </w:rPr>
        <w:t>_____</w:t>
      </w:r>
      <w:r w:rsidR="00B80256">
        <w:rPr>
          <w:rFonts w:ascii="Times New Roman" w:hAnsi="Times New Roman" w:cs="Times New Roman"/>
          <w:sz w:val="28"/>
          <w:szCs w:val="28"/>
        </w:rPr>
        <w:t xml:space="preserve">» </w:t>
      </w:r>
      <w:r w:rsidRPr="005206D3">
        <w:rPr>
          <w:rFonts w:ascii="Times New Roman" w:hAnsi="Times New Roman" w:cs="Times New Roman"/>
          <w:sz w:val="28"/>
          <w:szCs w:val="28"/>
        </w:rPr>
        <w:t>__________</w:t>
      </w:r>
      <w:r w:rsidR="00B80256">
        <w:rPr>
          <w:rFonts w:ascii="Times New Roman" w:hAnsi="Times New Roman" w:cs="Times New Roman"/>
          <w:sz w:val="28"/>
          <w:szCs w:val="28"/>
        </w:rPr>
        <w:t>___________</w:t>
      </w:r>
      <w:r w:rsidRPr="005206D3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8025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454" w:rsidRDefault="00C47454" w:rsidP="00C47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:rsidR="0088121F" w:rsidRDefault="00150013" w:rsidP="00C47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</w:p>
    <w:p w:rsidR="00150013" w:rsidRPr="00150013" w:rsidRDefault="00150013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256" w:rsidRPr="00150013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ая программа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0256" w:rsidRPr="00150013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</w:t>
      </w:r>
      <w:r w:rsidR="00865D1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вание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современной городской среды на территории </w:t>
      </w:r>
      <w:r w:rsidR="00BD020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Кемского </w:t>
      </w:r>
      <w:r w:rsidR="00AA206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</w:t>
      </w:r>
      <w:r w:rsidR="009C0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150013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Программа)</w:t>
      </w:r>
    </w:p>
    <w:p w:rsidR="0088121F" w:rsidRDefault="0088121F" w:rsidP="00DD78D6">
      <w:pPr>
        <w:spacing w:after="0" w:line="240" w:lineRule="auto"/>
        <w:ind w:left="2340" w:hanging="2340"/>
        <w:jc w:val="center"/>
      </w:pPr>
    </w:p>
    <w:p w:rsidR="00B80256" w:rsidRPr="0088121F" w:rsidRDefault="00B80256" w:rsidP="00DD78D6">
      <w:pPr>
        <w:spacing w:after="0" w:line="240" w:lineRule="auto"/>
        <w:ind w:left="2340" w:hanging="2340"/>
        <w:jc w:val="center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15001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жилищно- коммунального хозяйства а</w:t>
            </w:r>
            <w:r w:rsidR="00865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</w:t>
            </w:r>
            <w:r w:rsidR="00BD020A" w:rsidRPr="00BD0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Кемского муниципального района</w:t>
            </w:r>
          </w:p>
        </w:tc>
      </w:tr>
      <w:tr w:rsidR="00935AB0" w:rsidRPr="00D77A48" w:rsidTr="00935AB0">
        <w:tc>
          <w:tcPr>
            <w:tcW w:w="3528" w:type="dxa"/>
            <w:shd w:val="clear" w:color="auto" w:fill="auto"/>
          </w:tcPr>
          <w:p w:rsidR="00935AB0" w:rsidRPr="00D77A48" w:rsidRDefault="00935AB0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Соисполнители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C47454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935AB0" w:rsidP="0038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общественные организации, </w:t>
            </w:r>
            <w:r w:rsidR="00384B18"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компании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Подпрограммы </w:t>
            </w:r>
          </w:p>
          <w:p w:rsidR="00150013" w:rsidRPr="00D77A48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BD020A" w:rsidRDefault="00150013" w:rsidP="00B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6015FB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6015FB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6015FB" w:rsidRPr="00D77A48" w:rsidTr="00935AB0">
        <w:tc>
          <w:tcPr>
            <w:tcW w:w="3528" w:type="dxa"/>
            <w:shd w:val="clear" w:color="auto" w:fill="auto"/>
          </w:tcPr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840" w:type="dxa"/>
            <w:shd w:val="clear" w:color="auto" w:fill="auto"/>
          </w:tcPr>
          <w:p w:rsidR="006015FB" w:rsidRPr="00D77A48" w:rsidRDefault="006015FB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комфортности условий проживания населения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6015FB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овышение уровня благоустройства дворовых территорий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Кемского городского поселения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88121F" w:rsidRPr="00D77A48" w:rsidRDefault="006015FB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овышение уровня благоустройства общественных территорий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Кемского городского поселения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954657" w:rsidRPr="00D77A48" w:rsidRDefault="00954657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Целевые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и показатели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6015FB" w:rsidP="00C4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оля благоустроенных дворовых территорий от общего количества дворовых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рограммы;</w:t>
            </w:r>
          </w:p>
          <w:p w:rsidR="0088121F" w:rsidRPr="00D77A48" w:rsidRDefault="006015FB" w:rsidP="00C4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оля благоустроенных общественных территорий от общего количества общественных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этапы 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B80256" w:rsidRDefault="0095465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  <w:r w:rsidR="009C00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без выделения этапов</w:t>
            </w:r>
          </w:p>
        </w:tc>
      </w:tr>
      <w:tr w:rsidR="00D77A48" w:rsidRPr="00D77A48" w:rsidTr="009C002B">
        <w:trPr>
          <w:trHeight w:val="2805"/>
        </w:trPr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3763B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средств, направляемых на реализацию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в 2017 году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37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701,2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:rsidR="00954657" w:rsidRPr="00D77A48" w:rsidRDefault="00384B1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218,47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54657" w:rsidRPr="00D77A48" w:rsidRDefault="002379EC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3389,1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из бюджета Республики Карелия;</w:t>
            </w:r>
          </w:p>
          <w:p w:rsidR="00954657" w:rsidRDefault="00B52710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C002B" w:rsidRPr="00D77A48" w:rsidRDefault="009C002B" w:rsidP="009C0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63B8" w:rsidRPr="00D77A48" w:rsidRDefault="003763B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A48" w:rsidRPr="00D77A48" w:rsidTr="00865D1A">
        <w:trPr>
          <w:trHeight w:val="2959"/>
        </w:trPr>
        <w:tc>
          <w:tcPr>
            <w:tcW w:w="3528" w:type="dxa"/>
            <w:shd w:val="clear" w:color="auto" w:fill="auto"/>
          </w:tcPr>
          <w:p w:rsidR="00436E47" w:rsidRPr="00D77A48" w:rsidRDefault="00B80256" w:rsidP="0043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 </w:t>
            </w:r>
          </w:p>
          <w:p w:rsidR="0088121F" w:rsidRPr="00D77A48" w:rsidRDefault="00436E4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дворовых территорий в общем количестве дворовых территорий, подлежащих благоустройству в рамках муниципальной программы, составит 100 процентов;</w:t>
            </w:r>
          </w:p>
          <w:p w:rsidR="0088121F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</w:t>
            </w:r>
          </w:p>
        </w:tc>
      </w:tr>
    </w:tbl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6D3" w:rsidRPr="00C47454" w:rsidRDefault="00BB319C" w:rsidP="00C474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7454">
        <w:rPr>
          <w:rFonts w:ascii="Times New Roman" w:hAnsi="Times New Roman" w:cs="Times New Roman"/>
          <w:sz w:val="26"/>
          <w:szCs w:val="26"/>
        </w:rPr>
        <w:t>1.</w:t>
      </w:r>
      <w:r w:rsidR="005206D3" w:rsidRPr="00C47454">
        <w:rPr>
          <w:rFonts w:ascii="Times New Roman" w:hAnsi="Times New Roman" w:cs="Times New Roman"/>
          <w:sz w:val="26"/>
          <w:szCs w:val="26"/>
        </w:rPr>
        <w:t xml:space="preserve"> Характеристика текущего состояния сферы благоустройства</w:t>
      </w:r>
      <w:r w:rsidR="00881005" w:rsidRPr="00C47454">
        <w:rPr>
          <w:rFonts w:ascii="Times New Roman" w:hAnsi="Times New Roman" w:cs="Times New Roman"/>
          <w:sz w:val="26"/>
          <w:szCs w:val="26"/>
        </w:rPr>
        <w:t xml:space="preserve"> </w:t>
      </w:r>
      <w:r w:rsidR="004732E9">
        <w:rPr>
          <w:rFonts w:ascii="Times New Roman" w:hAnsi="Times New Roman" w:cs="Times New Roman"/>
          <w:sz w:val="26"/>
          <w:szCs w:val="26"/>
        </w:rPr>
        <w:t>на территории Кемского городского поселения</w:t>
      </w:r>
    </w:p>
    <w:p w:rsidR="005206D3" w:rsidRPr="00DD78D6" w:rsidRDefault="005206D3" w:rsidP="00DD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63" w:rsidRPr="00DD78D6" w:rsidRDefault="005206D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D6">
        <w:rPr>
          <w:rFonts w:ascii="Times New Roman" w:hAnsi="Times New Roman" w:cs="Times New Roman"/>
          <w:sz w:val="26"/>
          <w:szCs w:val="26"/>
        </w:rPr>
        <w:t xml:space="preserve">Создание условий для системного повышения качества и комфорта городской среды на территории </w:t>
      </w:r>
      <w:r w:rsidR="00BD020A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810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 </w:t>
      </w:r>
      <w:r w:rsidRPr="00DD78D6">
        <w:rPr>
          <w:rFonts w:ascii="Times New Roman" w:hAnsi="Times New Roman" w:cs="Times New Roman"/>
          <w:sz w:val="26"/>
          <w:szCs w:val="26"/>
        </w:rPr>
        <w:t xml:space="preserve">путем реализации комплекса первоочередных мероприятий по 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благоустройству рассматривается в качестве одного из основных факторов повышения </w:t>
      </w:r>
      <w:r w:rsidR="0018569E" w:rsidRPr="00DD78D6">
        <w:rPr>
          <w:rFonts w:ascii="Times New Roman" w:hAnsi="Times New Roman" w:cs="Times New Roman"/>
          <w:sz w:val="26"/>
          <w:szCs w:val="26"/>
        </w:rPr>
        <w:t>комфортности условий проживания населения.</w:t>
      </w:r>
      <w:r w:rsidR="00011BC0" w:rsidRPr="00DD78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A0F" w:rsidRPr="00C47454" w:rsidRDefault="00465A0F" w:rsidP="00E53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D6">
        <w:rPr>
          <w:rFonts w:ascii="Times New Roman" w:hAnsi="Times New Roman" w:cs="Times New Roman"/>
          <w:sz w:val="26"/>
          <w:szCs w:val="26"/>
        </w:rPr>
        <w:t>В целях установления требований к содержанию и благоустройству территорий</w:t>
      </w:r>
      <w:r w:rsidR="00DD78D6">
        <w:rPr>
          <w:rFonts w:ascii="Times New Roman" w:hAnsi="Times New Roman" w:cs="Times New Roman"/>
          <w:sz w:val="26"/>
          <w:szCs w:val="26"/>
        </w:rPr>
        <w:t xml:space="preserve"> </w:t>
      </w:r>
      <w:r w:rsidRPr="00DD78D6">
        <w:rPr>
          <w:rFonts w:ascii="Times New Roman" w:hAnsi="Times New Roman" w:cs="Times New Roman"/>
          <w:sz w:val="26"/>
          <w:szCs w:val="26"/>
        </w:rPr>
        <w:t xml:space="preserve"> разработаны и утверждены</w:t>
      </w:r>
      <w:r w:rsidR="00800088">
        <w:rPr>
          <w:rFonts w:ascii="Times New Roman" w:hAnsi="Times New Roman" w:cs="Times New Roman"/>
          <w:sz w:val="26"/>
          <w:szCs w:val="26"/>
        </w:rPr>
        <w:t xml:space="preserve"> Правила благоустройства территории Кемского городского поселения</w:t>
      </w:r>
      <w:r w:rsidR="00C47454">
        <w:rPr>
          <w:rFonts w:ascii="Times New Roman" w:hAnsi="Times New Roman" w:cs="Times New Roman"/>
          <w:sz w:val="26"/>
          <w:szCs w:val="26"/>
        </w:rPr>
        <w:t>, утвержденные</w:t>
      </w:r>
      <w:r w:rsidRPr="00DD78D6">
        <w:rPr>
          <w:rFonts w:ascii="Times New Roman" w:hAnsi="Times New Roman" w:cs="Times New Roman"/>
          <w:sz w:val="26"/>
          <w:szCs w:val="26"/>
        </w:rPr>
        <w:t xml:space="preserve"> Решением </w:t>
      </w:r>
      <w:r w:rsidR="00E53DCE">
        <w:rPr>
          <w:rFonts w:ascii="Times New Roman" w:hAnsi="Times New Roman" w:cs="Times New Roman"/>
          <w:sz w:val="26"/>
          <w:szCs w:val="26"/>
        </w:rPr>
        <w:t>Совета Кемского городского поселения</w:t>
      </w:r>
      <w:r w:rsidRPr="00DD78D6">
        <w:rPr>
          <w:rFonts w:ascii="Times New Roman" w:hAnsi="Times New Roman" w:cs="Times New Roman"/>
          <w:sz w:val="26"/>
          <w:szCs w:val="26"/>
        </w:rPr>
        <w:t xml:space="preserve"> от </w:t>
      </w:r>
      <w:r w:rsidR="00E53DCE">
        <w:rPr>
          <w:rFonts w:ascii="Times New Roman" w:hAnsi="Times New Roman" w:cs="Times New Roman"/>
          <w:sz w:val="26"/>
          <w:szCs w:val="26"/>
        </w:rPr>
        <w:t xml:space="preserve">25.10.2012 года </w:t>
      </w:r>
      <w:r w:rsidR="00E53DCE" w:rsidRPr="00E53DCE">
        <w:rPr>
          <w:rFonts w:ascii="Times New Roman" w:hAnsi="Times New Roman" w:cs="Times New Roman"/>
          <w:sz w:val="26"/>
          <w:szCs w:val="26"/>
        </w:rPr>
        <w:t>№ 32-2/185</w:t>
      </w:r>
      <w:r w:rsidRPr="00DD78D6">
        <w:rPr>
          <w:rFonts w:ascii="Times New Roman" w:hAnsi="Times New Roman" w:cs="Times New Roman"/>
          <w:sz w:val="26"/>
          <w:szCs w:val="26"/>
        </w:rPr>
        <w:t xml:space="preserve">, в соответствии с которыми </w:t>
      </w:r>
      <w:r w:rsidR="00881005" w:rsidRPr="00DD78D6">
        <w:rPr>
          <w:rFonts w:ascii="Times New Roman" w:hAnsi="Times New Roman" w:cs="Times New Roman"/>
          <w:sz w:val="26"/>
          <w:szCs w:val="26"/>
        </w:rPr>
        <w:t>определены,</w:t>
      </w:r>
      <w:r w:rsidRPr="00DD78D6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Pr="00C47454">
        <w:rPr>
          <w:rFonts w:ascii="Times New Roman" w:hAnsi="Times New Roman" w:cs="Times New Roman"/>
          <w:sz w:val="26"/>
          <w:szCs w:val="26"/>
        </w:rPr>
        <w:t>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озеленения.</w:t>
      </w:r>
    </w:p>
    <w:p w:rsidR="00011BC0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сегодняшний день у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ровень благоустройства дворовых территорий многоквартирных домов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полностью или частично не отвечает нормативным требованиям. Асфальтобетонное покрытие большинства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имеет высокий физический износ. В ряде дворов отсутствует освещение, необходимый набор малых форм и обустроенных площадок. Наличие на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ях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сгоревших и разрушенных хозяйственных 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011BC0" w:rsidRDefault="00011BC0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DD78D6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</w:t>
      </w:r>
      <w:r w:rsidR="007E7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Кемского </w:t>
      </w:r>
      <w:r w:rsidR="00384B18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городского поселения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расположено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53DCE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800088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общественных территорий (парки, скверы, и т.д</w:t>
      </w:r>
      <w:r w:rsidR="00800088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1BC0">
        <w:rPr>
          <w:rFonts w:ascii="Times New Roman" w:hAnsi="Times New Roman" w:cs="Times New Roman"/>
          <w:sz w:val="26"/>
          <w:szCs w:val="26"/>
        </w:rPr>
        <w:t xml:space="preserve">К </w:t>
      </w:r>
      <w:r w:rsidR="00DD78D6">
        <w:rPr>
          <w:rFonts w:ascii="Times New Roman" w:hAnsi="Times New Roman" w:cs="Times New Roman"/>
          <w:sz w:val="26"/>
          <w:szCs w:val="26"/>
        </w:rPr>
        <w:t>повышению уровня благоустройства и качества городской среды</w:t>
      </w:r>
      <w:r w:rsidR="00E01A17">
        <w:rPr>
          <w:rFonts w:ascii="Times New Roman" w:hAnsi="Times New Roman" w:cs="Times New Roman"/>
          <w:sz w:val="26"/>
          <w:szCs w:val="26"/>
        </w:rPr>
        <w:t xml:space="preserve"> </w:t>
      </w:r>
      <w:r w:rsidRPr="00011BC0">
        <w:rPr>
          <w:rFonts w:ascii="Times New Roman" w:hAnsi="Times New Roman" w:cs="Times New Roman"/>
          <w:sz w:val="26"/>
          <w:szCs w:val="26"/>
        </w:rPr>
        <w:t>необходим последовательный комплексный подход, рассчитанный на среднесрочный период, который предполагает использова</w:t>
      </w:r>
      <w:r w:rsidR="00DD78D6" w:rsidRPr="00DD78D6">
        <w:rPr>
          <w:rFonts w:ascii="Times New Roman" w:hAnsi="Times New Roman" w:cs="Times New Roman"/>
          <w:sz w:val="26"/>
          <w:szCs w:val="26"/>
        </w:rPr>
        <w:t xml:space="preserve">ние программно-целевых методов. </w:t>
      </w:r>
      <w:r w:rsidRPr="00011BC0">
        <w:rPr>
          <w:rFonts w:ascii="Times New Roman" w:hAnsi="Times New Roman" w:cs="Times New Roman"/>
          <w:sz w:val="26"/>
          <w:szCs w:val="26"/>
        </w:rPr>
        <w:t xml:space="preserve">Основным методом решения проблемы должно стать благоустройство дворовых </w:t>
      </w:r>
      <w:r w:rsidR="00DD78D6">
        <w:rPr>
          <w:rFonts w:ascii="Times New Roman" w:hAnsi="Times New Roman" w:cs="Times New Roman"/>
          <w:sz w:val="26"/>
          <w:szCs w:val="26"/>
        </w:rPr>
        <w:t xml:space="preserve">и общественных </w:t>
      </w:r>
      <w:r w:rsidRPr="00011BC0">
        <w:rPr>
          <w:rFonts w:ascii="Times New Roman" w:hAnsi="Times New Roman" w:cs="Times New Roman"/>
          <w:sz w:val="26"/>
          <w:szCs w:val="26"/>
        </w:rPr>
        <w:t>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</w:t>
      </w:r>
      <w:r w:rsidR="00F753B3">
        <w:rPr>
          <w:rFonts w:ascii="Times New Roman" w:hAnsi="Times New Roman" w:cs="Times New Roman"/>
          <w:sz w:val="26"/>
          <w:szCs w:val="26"/>
        </w:rPr>
        <w:t>зопасности территорий</w:t>
      </w:r>
      <w:r w:rsidRPr="00011BC0">
        <w:rPr>
          <w:rFonts w:ascii="Times New Roman" w:hAnsi="Times New Roman" w:cs="Times New Roman"/>
          <w:sz w:val="26"/>
          <w:szCs w:val="26"/>
        </w:rPr>
        <w:t>.</w:t>
      </w:r>
    </w:p>
    <w:p w:rsidR="00DD78D6" w:rsidRPr="00DD78D6" w:rsidRDefault="00DD78D6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(индикаторы), характеризующие</w:t>
      </w:r>
    </w:p>
    <w:p w:rsidR="00011BC0" w:rsidRPr="00011BC0" w:rsidRDefault="00011BC0" w:rsidP="00E01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содержания дворовых территорий</w:t>
      </w:r>
      <w:r w:rsidR="00800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2014- 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8000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1440"/>
        <w:gridCol w:w="1134"/>
        <w:gridCol w:w="1134"/>
        <w:gridCol w:w="1112"/>
      </w:tblGrid>
      <w:tr w:rsidR="00817729" w:rsidRPr="00011BC0" w:rsidTr="00817729">
        <w:tc>
          <w:tcPr>
            <w:tcW w:w="77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96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40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показателей</w:t>
            </w:r>
          </w:p>
        </w:tc>
      </w:tr>
      <w:tr w:rsidR="00817729" w:rsidRPr="00011BC0" w:rsidTr="00817729">
        <w:trPr>
          <w:trHeight w:val="227"/>
        </w:trPr>
        <w:tc>
          <w:tcPr>
            <w:tcW w:w="77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40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1112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дворовых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112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благоустроенных дворовых территорий от общего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количества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12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благоустроенных 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E53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12" w:type="dxa"/>
            <w:vAlign w:val="center"/>
          </w:tcPr>
          <w:p w:rsidR="00817729" w:rsidRPr="00817729" w:rsidRDefault="006950B0" w:rsidP="00800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12" w:type="dxa"/>
            <w:vAlign w:val="center"/>
          </w:tcPr>
          <w:p w:rsidR="00817729" w:rsidRPr="00817729" w:rsidRDefault="006950B0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 такой практики)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011BC0" w:rsidRPr="00011BC0" w:rsidRDefault="00011BC0" w:rsidP="00DD78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BC0" w:rsidRPr="0088117F" w:rsidRDefault="00DD78D6" w:rsidP="00DD7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</w:t>
      </w:r>
      <w:r w:rsidR="00E01A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</w:t>
      </w:r>
      <w:r w:rsidR="00E01A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инвалидов и других маломобильных групп населения.</w:t>
      </w:r>
    </w:p>
    <w:p w:rsidR="00011BC0" w:rsidRPr="0088117F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A0F" w:rsidRPr="0088117F" w:rsidRDefault="00465A0F" w:rsidP="00DD7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EF7" w:rsidRPr="0088117F" w:rsidRDefault="00B92E0E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</w:t>
      </w:r>
      <w:r w:rsidRPr="0088117F">
        <w:rPr>
          <w:rFonts w:ascii="Times New Roman" w:hAnsi="Times New Roman" w:cs="Times New Roman"/>
          <w:sz w:val="26"/>
          <w:szCs w:val="26"/>
        </w:rPr>
        <w:t>риоритеты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>муниципальной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политики в сфере бла</w:t>
      </w:r>
      <w:r w:rsidRPr="0088117F">
        <w:rPr>
          <w:rFonts w:ascii="Times New Roman" w:hAnsi="Times New Roman" w:cs="Times New Roman"/>
          <w:sz w:val="26"/>
          <w:szCs w:val="26"/>
        </w:rPr>
        <w:t>гоустройства. Цели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и задач</w:t>
      </w:r>
      <w:r w:rsidRPr="0088117F">
        <w:rPr>
          <w:rFonts w:ascii="Times New Roman" w:hAnsi="Times New Roman" w:cs="Times New Roman"/>
          <w:sz w:val="26"/>
          <w:szCs w:val="26"/>
        </w:rPr>
        <w:t xml:space="preserve">и </w:t>
      </w:r>
      <w:r w:rsidR="00E01A17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  <w:r w:rsidR="005203B0" w:rsidRPr="0088117F">
        <w:rPr>
          <w:rFonts w:ascii="Times New Roman" w:hAnsi="Times New Roman" w:cs="Times New Roman"/>
          <w:sz w:val="26"/>
          <w:szCs w:val="26"/>
        </w:rPr>
        <w:t>. Прогноз ожидаемых результатов</w:t>
      </w:r>
      <w:r w:rsidR="00BE6C9E" w:rsidRPr="0088117F">
        <w:rPr>
          <w:rFonts w:ascii="Times New Roman" w:hAnsi="Times New Roman" w:cs="Times New Roman"/>
          <w:sz w:val="26"/>
          <w:szCs w:val="26"/>
        </w:rPr>
        <w:t>.</w:t>
      </w:r>
    </w:p>
    <w:p w:rsidR="00570FCB" w:rsidRPr="0088117F" w:rsidRDefault="00570FCB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4F29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</w:t>
      </w:r>
      <w:r w:rsidR="007E771A" w:rsidRPr="0088117F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384B18" w:rsidRPr="0088117F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7E771A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>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A4F29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Нормативное правовое регулирование в сфере реализации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</w:t>
      </w:r>
      <w:r w:rsidR="00813365" w:rsidRPr="0088117F">
        <w:rPr>
          <w:rFonts w:ascii="Times New Roman" w:hAnsi="Times New Roman" w:cs="Times New Roman"/>
          <w:sz w:val="26"/>
          <w:szCs w:val="26"/>
        </w:rPr>
        <w:t>0</w:t>
      </w:r>
      <w:r w:rsidRPr="0088117F">
        <w:rPr>
          <w:rFonts w:ascii="Times New Roman" w:hAnsi="Times New Roman" w:cs="Times New Roman"/>
          <w:sz w:val="26"/>
          <w:szCs w:val="26"/>
        </w:rPr>
        <w:t>17 года №169 «Об утверждении Правил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</w:t>
      </w:r>
      <w:r w:rsidRPr="0088117F">
        <w:rPr>
          <w:rFonts w:ascii="Times New Roman" w:hAnsi="Times New Roman" w:cs="Times New Roman"/>
          <w:sz w:val="26"/>
          <w:szCs w:val="26"/>
        </w:rPr>
        <w:t xml:space="preserve">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3915BB" w:rsidRPr="0088117F" w:rsidRDefault="003915B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Приоритетами муниципальной политики в сфере благоустройства являются:</w:t>
      </w:r>
    </w:p>
    <w:p w:rsidR="00570FCB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1.</w:t>
      </w:r>
      <w:r w:rsidRPr="0088117F">
        <w:rPr>
          <w:rFonts w:ascii="Times New Roman" w:hAnsi="Times New Roman" w:cs="Times New Roman"/>
          <w:sz w:val="26"/>
          <w:szCs w:val="26"/>
        </w:rPr>
        <w:tab/>
      </w:r>
      <w:r w:rsidR="0029113D" w:rsidRPr="0088117F">
        <w:rPr>
          <w:rFonts w:ascii="Times New Roman" w:hAnsi="Times New Roman" w:cs="Times New Roman"/>
          <w:sz w:val="26"/>
          <w:szCs w:val="26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(далее – населённый пункт) </w:t>
      </w:r>
      <w:r w:rsidR="0029113D" w:rsidRPr="0088117F">
        <w:rPr>
          <w:rFonts w:ascii="Times New Roman" w:hAnsi="Times New Roman" w:cs="Times New Roman"/>
          <w:sz w:val="26"/>
          <w:szCs w:val="26"/>
        </w:rPr>
        <w:t>путем реализации комплекса первоочередных</w:t>
      </w:r>
      <w:r w:rsidR="008743E8" w:rsidRPr="0088117F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</w:t>
      </w:r>
      <w:r w:rsidR="00F3348A" w:rsidRPr="0088117F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743E8" w:rsidRPr="0088117F">
        <w:rPr>
          <w:rFonts w:ascii="Times New Roman" w:hAnsi="Times New Roman" w:cs="Times New Roman"/>
          <w:sz w:val="26"/>
          <w:szCs w:val="26"/>
        </w:rPr>
        <w:t>.</w:t>
      </w:r>
    </w:p>
    <w:p w:rsidR="008743E8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2. </w:t>
      </w:r>
      <w:r w:rsidR="008743E8" w:rsidRPr="0088117F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за реализацией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="00145B82" w:rsidRPr="0088117F">
        <w:rPr>
          <w:rFonts w:ascii="Times New Roman" w:hAnsi="Times New Roman" w:cs="Times New Roman"/>
          <w:sz w:val="26"/>
          <w:szCs w:val="26"/>
        </w:rPr>
        <w:t>рограммы, проведение комиссионной оценки предложений граждан и организаций в сфере благоустройства н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="00F753B3" w:rsidRPr="0088117F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с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учет</w:t>
      </w:r>
      <w:r w:rsidR="00813365" w:rsidRPr="0088117F">
        <w:rPr>
          <w:rFonts w:ascii="Times New Roman" w:hAnsi="Times New Roman" w:cs="Times New Roman"/>
          <w:sz w:val="26"/>
          <w:szCs w:val="26"/>
        </w:rPr>
        <w:t>ом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мероприятий по ремонту и модернизации инженерных сетей при принятии решения о благоустройстве объектов, расположенных на территории </w:t>
      </w:r>
      <w:r w:rsidR="006950B0" w:rsidRPr="0088117F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>,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обеспечивается коллегиально посредством общественной комиссии, состав и положение о которой утверждены </w:t>
      </w:r>
      <w:r w:rsidR="000E5195" w:rsidRPr="0088117F">
        <w:rPr>
          <w:rFonts w:ascii="Times New Roman" w:hAnsi="Times New Roman" w:cs="Times New Roman"/>
          <w:sz w:val="26"/>
          <w:szCs w:val="26"/>
        </w:rPr>
        <w:t>п</w:t>
      </w:r>
      <w:r w:rsidR="007E771A" w:rsidRPr="0088117F">
        <w:rPr>
          <w:rFonts w:ascii="Times New Roman" w:hAnsi="Times New Roman" w:cs="Times New Roman"/>
          <w:sz w:val="26"/>
          <w:szCs w:val="26"/>
        </w:rPr>
        <w:t>остановлением администрации Кемского муниципального района № 93 от 03.03.2017</w:t>
      </w:r>
      <w:r w:rsidR="00145B82" w:rsidRPr="0088117F">
        <w:rPr>
          <w:rFonts w:ascii="Times New Roman" w:hAnsi="Times New Roman" w:cs="Times New Roman"/>
          <w:i/>
          <w:sz w:val="26"/>
          <w:szCs w:val="26"/>
        </w:rPr>
        <w:t>.</w:t>
      </w:r>
    </w:p>
    <w:p w:rsidR="008743E8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3.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813365" w:rsidRPr="0088117F">
        <w:rPr>
          <w:rFonts w:ascii="Times New Roman" w:hAnsi="Times New Roman" w:cs="Times New Roman"/>
          <w:sz w:val="26"/>
          <w:szCs w:val="26"/>
        </w:rPr>
        <w:t>Р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035346" w:rsidRPr="0088117F">
        <w:rPr>
          <w:rFonts w:ascii="Times New Roman" w:hAnsi="Times New Roman" w:cs="Times New Roman"/>
          <w:sz w:val="26"/>
          <w:szCs w:val="26"/>
        </w:rPr>
        <w:t>мероприятий по благоустройству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дворовых территорий и территорий общего пользования</w:t>
      </w:r>
      <w:r w:rsidR="006950B0" w:rsidRPr="0088117F">
        <w:rPr>
          <w:rFonts w:ascii="Times New Roman" w:hAnsi="Times New Roman" w:cs="Times New Roman"/>
          <w:sz w:val="26"/>
          <w:szCs w:val="26"/>
        </w:rPr>
        <w:t xml:space="preserve"> на территории 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>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и иные территории)</w:t>
      </w:r>
      <w:r w:rsidR="00232DD1" w:rsidRPr="0088117F">
        <w:rPr>
          <w:rFonts w:ascii="Times New Roman" w:hAnsi="Times New Roman" w:cs="Times New Roman"/>
          <w:sz w:val="26"/>
          <w:szCs w:val="26"/>
        </w:rPr>
        <w:t xml:space="preserve"> (далее – общественные территории)</w:t>
      </w:r>
      <w:r w:rsidR="00813365" w:rsidRPr="0088117F">
        <w:rPr>
          <w:rFonts w:ascii="Times New Roman" w:hAnsi="Times New Roman" w:cs="Times New Roman"/>
          <w:sz w:val="26"/>
          <w:szCs w:val="26"/>
        </w:rPr>
        <w:t>, предложенных гражданами и организациями</w:t>
      </w:r>
      <w:r w:rsidR="008743E8" w:rsidRPr="008811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0E87" w:rsidRPr="0088117F" w:rsidRDefault="00F753B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Целью П</w:t>
      </w:r>
      <w:r w:rsidR="00CA2231" w:rsidRPr="0088117F">
        <w:rPr>
          <w:rFonts w:ascii="Times New Roman" w:hAnsi="Times New Roman" w:cs="Times New Roman"/>
          <w:sz w:val="26"/>
          <w:szCs w:val="26"/>
        </w:rPr>
        <w:t xml:space="preserve">рограммы является </w:t>
      </w:r>
      <w:r w:rsidR="00F50E87" w:rsidRPr="0088117F">
        <w:rPr>
          <w:rFonts w:ascii="Times New Roman" w:hAnsi="Times New Roman" w:cs="Times New Roman"/>
          <w:sz w:val="26"/>
          <w:szCs w:val="26"/>
        </w:rPr>
        <w:t xml:space="preserve">Повышение качества условий проживания населения. </w:t>
      </w:r>
    </w:p>
    <w:p w:rsidR="00CA2231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относятся следующие: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повышение уровня благоустройства дворовых территорий;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повышение уровня благоустройства общественных территорий</w:t>
      </w:r>
      <w:r w:rsidR="00817729" w:rsidRPr="0088117F">
        <w:rPr>
          <w:rFonts w:ascii="Times New Roman" w:hAnsi="Times New Roman" w:cs="Times New Roman"/>
          <w:sz w:val="26"/>
          <w:szCs w:val="26"/>
        </w:rPr>
        <w:t>.</w:t>
      </w:r>
    </w:p>
    <w:p w:rsidR="00BD34FD" w:rsidRPr="0088117F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Ожидаемые результаты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рограммы:</w:t>
      </w:r>
    </w:p>
    <w:p w:rsidR="00CB63EA" w:rsidRPr="0088117F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CB63EA" w:rsidRPr="0088117F">
        <w:rPr>
          <w:rFonts w:ascii="Times New Roman" w:hAnsi="Times New Roman" w:cs="Times New Roman"/>
          <w:sz w:val="26"/>
          <w:szCs w:val="26"/>
        </w:rPr>
        <w:t xml:space="preserve">доля благоустроенных </w:t>
      </w:r>
      <w:r w:rsidR="00347FEE" w:rsidRPr="0088117F">
        <w:rPr>
          <w:rFonts w:ascii="Times New Roman" w:hAnsi="Times New Roman" w:cs="Times New Roman"/>
          <w:sz w:val="26"/>
          <w:szCs w:val="26"/>
        </w:rPr>
        <w:t>дворовых территорий</w:t>
      </w:r>
      <w:r w:rsidR="00CB63EA" w:rsidRPr="0088117F">
        <w:rPr>
          <w:rFonts w:ascii="Times New Roman" w:hAnsi="Times New Roman" w:cs="Times New Roman"/>
          <w:sz w:val="26"/>
          <w:szCs w:val="26"/>
        </w:rPr>
        <w:t xml:space="preserve"> в общем количестве дворовых территорий, подлежащих благоустройству в рамках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="00CB63EA" w:rsidRPr="0088117F">
        <w:rPr>
          <w:rFonts w:ascii="Times New Roman" w:hAnsi="Times New Roman" w:cs="Times New Roman"/>
          <w:sz w:val="26"/>
          <w:szCs w:val="26"/>
        </w:rPr>
        <w:t>рограммы, составит 100 процентов;</w:t>
      </w:r>
    </w:p>
    <w:p w:rsidR="00E42EB4" w:rsidRPr="0088117F" w:rsidRDefault="00E42EB4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доля благоустроенных общественных территорий в общем количестве общественных территорий, подлежащих благоустройству в рамках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</w:t>
      </w:r>
      <w:r w:rsidR="00817729" w:rsidRPr="0088117F">
        <w:rPr>
          <w:rFonts w:ascii="Times New Roman" w:hAnsi="Times New Roman" w:cs="Times New Roman"/>
          <w:sz w:val="26"/>
          <w:szCs w:val="26"/>
        </w:rPr>
        <w:t>ммы, составит 100 процентов.</w:t>
      </w:r>
    </w:p>
    <w:p w:rsidR="009C002B" w:rsidRDefault="009C002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</w:t>
      </w:r>
      <w:r w:rsidR="00251F3B" w:rsidRPr="0088117F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еализации Программы 2017 год</w:t>
      </w:r>
      <w:r w:rsidR="00251F3B" w:rsidRPr="0088117F">
        <w:rPr>
          <w:rFonts w:ascii="Times New Roman" w:hAnsi="Times New Roman" w:cs="Times New Roman"/>
          <w:sz w:val="26"/>
          <w:szCs w:val="26"/>
        </w:rPr>
        <w:t>.</w:t>
      </w:r>
      <w:r w:rsidR="00774FFB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7B82" w:rsidRPr="0088117F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Сведения о показателях (индикаторах)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 xml:space="preserve">рограммы приведены в приложении 1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774FFB" w:rsidRPr="0088117F" w:rsidRDefault="00774FFB" w:rsidP="00DD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представлен в приложении 2</w:t>
      </w:r>
      <w:r w:rsidRPr="008811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CD62EE" w:rsidRPr="0088117F" w:rsidRDefault="00CD62EE" w:rsidP="00CD6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общественных территорий, подлежащих благоустройству в 2017</w:t>
      </w:r>
      <w:r w:rsidR="009C00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, с перечнем видов работ, планируемых к выполнению, в том числе с включением не менее одной общественной территории, отобранной с учётом результатов общественного обсуждения, а также иные мероприяти</w:t>
      </w:r>
      <w:r w:rsidR="005D2F90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благоустройству, подлежащие реализации в 2017 году, приведен в приложении 3</w:t>
      </w:r>
      <w:r w:rsidR="000E5195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Программе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CD62EE" w:rsidRPr="0088117F" w:rsidRDefault="00CD62EE" w:rsidP="000E51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Адресный перечень многоквартирных домов, дворовые территории которых </w:t>
      </w:r>
      <w:r w:rsidR="005D2F90" w:rsidRPr="0088117F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88117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E5195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и сроками представления, рассмотрения и оценки предложений заинтересованных лиц о включении дворовой территории в муниципальную программу Кемского городского поселения  «Формирование современной городской среды на 2017 год»</w:t>
      </w:r>
      <w:r w:rsidRPr="0088117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47454" w:rsidRPr="0088117F">
        <w:rPr>
          <w:rFonts w:ascii="Times New Roman" w:hAnsi="Times New Roman" w:cs="Times New Roman"/>
          <w:sz w:val="26"/>
          <w:szCs w:val="26"/>
        </w:rPr>
        <w:t>п</w:t>
      </w:r>
      <w:r w:rsidR="007E771A" w:rsidRPr="0088117F">
        <w:rPr>
          <w:rFonts w:ascii="Times New Roman" w:hAnsi="Times New Roman" w:cs="Times New Roman"/>
          <w:sz w:val="26"/>
          <w:szCs w:val="26"/>
        </w:rPr>
        <w:t>остановлением администрации Кемского муниципального района № 95 от 03.03.2017</w:t>
      </w:r>
      <w:r w:rsidRPr="0088117F">
        <w:rPr>
          <w:rFonts w:ascii="Times New Roman" w:hAnsi="Times New Roman" w:cs="Times New Roman"/>
          <w:sz w:val="26"/>
          <w:szCs w:val="26"/>
        </w:rPr>
        <w:t>, приведен в приложении 4</w:t>
      </w:r>
      <w:r w:rsidR="000E5195" w:rsidRPr="0088117F">
        <w:rPr>
          <w:rFonts w:ascii="Times New Roman" w:hAnsi="Times New Roman" w:cs="Times New Roman"/>
          <w:sz w:val="26"/>
          <w:szCs w:val="26"/>
        </w:rPr>
        <w:t xml:space="preserve"> к Программе</w:t>
      </w:r>
      <w:r w:rsidRPr="0088117F">
        <w:rPr>
          <w:rFonts w:ascii="Times New Roman" w:hAnsi="Times New Roman" w:cs="Times New Roman"/>
          <w:sz w:val="26"/>
          <w:szCs w:val="26"/>
        </w:rPr>
        <w:t>.</w:t>
      </w:r>
    </w:p>
    <w:p w:rsidR="00817729" w:rsidRPr="0088117F" w:rsidRDefault="00817729" w:rsidP="008177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Для реализации мероприятий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подготовлены следующие документы:</w:t>
      </w:r>
    </w:p>
    <w:p w:rsidR="00703D28" w:rsidRPr="0088117F" w:rsidRDefault="00817729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>м</w:t>
      </w:r>
      <w:r w:rsidRPr="0088117F">
        <w:rPr>
          <w:rFonts w:ascii="Times New Roman" w:hAnsi="Times New Roman" w:cs="Times New Roman"/>
          <w:sz w:val="26"/>
          <w:szCs w:val="26"/>
        </w:rPr>
        <w:t xml:space="preserve">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5</w:t>
      </w:r>
      <w:r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 (далее – минимальный пер</w:t>
      </w:r>
      <w:r w:rsidR="00703D28" w:rsidRPr="0088117F">
        <w:rPr>
          <w:rFonts w:ascii="Times New Roman" w:hAnsi="Times New Roman" w:cs="Times New Roman"/>
          <w:sz w:val="26"/>
          <w:szCs w:val="26"/>
        </w:rPr>
        <w:t>ечень работ по благоустройству);</w:t>
      </w:r>
    </w:p>
    <w:p w:rsidR="00817729" w:rsidRPr="0088117F" w:rsidRDefault="00703D28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в</w:t>
      </w:r>
      <w:r w:rsidR="00817729" w:rsidRPr="0088117F">
        <w:rPr>
          <w:rFonts w:ascii="Times New Roman" w:hAnsi="Times New Roman" w:cs="Times New Roman"/>
          <w:sz w:val="26"/>
          <w:szCs w:val="26"/>
        </w:rPr>
        <w:t xml:space="preserve">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6</w:t>
      </w:r>
      <w:r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88117F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дополнительный перечень видов работ по благоустройству дворовых территорий, софинансируемых за счет средств бюджета Республики Карелия,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7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>рограмме (далее – дополнительный перечень работ по благоустройству);</w:t>
      </w:r>
    </w:p>
    <w:p w:rsidR="000E5195" w:rsidRPr="0088117F" w:rsidRDefault="000E5195" w:rsidP="000E51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D28" w:rsidRPr="0088117F" w:rsidRDefault="00817729" w:rsidP="000E51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4732E9">
        <w:rPr>
          <w:rFonts w:ascii="Times New Roman" w:eastAsia="Calibri" w:hAnsi="Times New Roman" w:cs="Times New Roman"/>
          <w:sz w:val="26"/>
          <w:szCs w:val="26"/>
        </w:rPr>
        <w:t>у</w:t>
      </w:r>
      <w:r w:rsidR="000E5195" w:rsidRPr="0088117F">
        <w:rPr>
          <w:rFonts w:ascii="Times New Roman" w:eastAsia="Calibri" w:hAnsi="Times New Roman" w:cs="Times New Roman"/>
          <w:sz w:val="26"/>
          <w:szCs w:val="26"/>
        </w:rPr>
        <w:t>крупненные показатели сметной стоимости работ по благоустройству дворовых территорий в рамках приоритетного проекта «Комфортная городская среда»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, входящих в минимальный и дополнительный перечни работ, приведена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8</w:t>
      </w:r>
      <w:r w:rsidR="00703D28" w:rsidRPr="008811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рограмме; </w:t>
      </w:r>
    </w:p>
    <w:p w:rsidR="00703D28" w:rsidRPr="0088117F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9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88117F" w:rsidRDefault="00817729" w:rsidP="00703D2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703D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орядок разработки, обсуждения с заинтересованными лицами и утверждения дизайн - проектов благо</w:t>
      </w:r>
      <w:r w:rsidR="00C376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устройства дворовой территории </w:t>
      </w:r>
      <w:r w:rsidR="00703D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приведён 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приложении </w:t>
      </w:r>
      <w:r w:rsidR="00CD62EE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251F3B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рограмме.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F7" w:rsidRPr="0088117F" w:rsidRDefault="00774FFB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66842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арактеристика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вклада 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ре</w:t>
      </w:r>
      <w:r w:rsidR="00166842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зультатов.</w:t>
      </w:r>
      <w:r w:rsidR="00A12950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85EF7" w:rsidRPr="0088117F">
        <w:rPr>
          <w:rFonts w:ascii="Times New Roman" w:hAnsi="Times New Roman" w:cs="Times New Roman"/>
          <w:sz w:val="26"/>
          <w:szCs w:val="26"/>
        </w:rPr>
        <w:t>бъем сред</w:t>
      </w:r>
      <w:r w:rsidR="00251F3B" w:rsidRPr="0088117F">
        <w:rPr>
          <w:rFonts w:ascii="Times New Roman" w:hAnsi="Times New Roman" w:cs="Times New Roman"/>
          <w:sz w:val="26"/>
          <w:szCs w:val="26"/>
        </w:rPr>
        <w:t>ств, необходимых на реализацию П</w:t>
      </w:r>
      <w:r w:rsidR="00985EF7" w:rsidRPr="0088117F">
        <w:rPr>
          <w:rFonts w:ascii="Times New Roman" w:hAnsi="Times New Roman" w:cs="Times New Roman"/>
          <w:sz w:val="26"/>
          <w:szCs w:val="26"/>
        </w:rPr>
        <w:t>рограммы за счет всех</w:t>
      </w:r>
      <w:r w:rsidR="00A15917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985EF7" w:rsidRPr="0088117F">
        <w:rPr>
          <w:rFonts w:ascii="Times New Roman" w:hAnsi="Times New Roman" w:cs="Times New Roman"/>
          <w:sz w:val="26"/>
          <w:szCs w:val="26"/>
        </w:rPr>
        <w:t>источн</w:t>
      </w:r>
      <w:r w:rsidR="006950B0" w:rsidRPr="0088117F">
        <w:rPr>
          <w:rFonts w:ascii="Times New Roman" w:hAnsi="Times New Roman" w:cs="Times New Roman"/>
          <w:sz w:val="26"/>
          <w:szCs w:val="26"/>
        </w:rPr>
        <w:t>иков финансирования на 2017 год</w:t>
      </w:r>
    </w:p>
    <w:p w:rsidR="000A1C08" w:rsidRPr="0088117F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осуществляется за счёт следующих источников финансирования:</w:t>
      </w: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за счет средств бюджета Республики Карелия;</w:t>
      </w: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за счет средств бюджета</w:t>
      </w:r>
      <w:r w:rsidR="008439B2" w:rsidRPr="0088117F">
        <w:rPr>
          <w:rFonts w:ascii="Times New Roman" w:hAnsi="Times New Roman" w:cs="Times New Roman"/>
          <w:sz w:val="26"/>
          <w:szCs w:val="26"/>
        </w:rPr>
        <w:t xml:space="preserve"> Кемского городского поселения</w:t>
      </w:r>
      <w:r w:rsidRPr="0088117F">
        <w:rPr>
          <w:rFonts w:ascii="Times New Roman" w:hAnsi="Times New Roman" w:cs="Times New Roman"/>
          <w:sz w:val="26"/>
          <w:szCs w:val="26"/>
        </w:rPr>
        <w:t>;</w:t>
      </w:r>
    </w:p>
    <w:p w:rsidR="000A1C08" w:rsidRPr="0088117F" w:rsidRDefault="009038F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за счёт </w:t>
      </w:r>
      <w:r w:rsidRPr="0088117F">
        <w:rPr>
          <w:rFonts w:ascii="Times New Roman" w:hAnsi="Times New Roman" w:cs="Times New Roman"/>
          <w:sz w:val="26"/>
          <w:szCs w:val="26"/>
        </w:rPr>
        <w:t>безвозмездны</w:t>
      </w:r>
      <w:r w:rsidR="0018569E" w:rsidRPr="0088117F">
        <w:rPr>
          <w:rFonts w:ascii="Times New Roman" w:hAnsi="Times New Roman" w:cs="Times New Roman"/>
          <w:sz w:val="26"/>
          <w:szCs w:val="26"/>
        </w:rPr>
        <w:t>х</w:t>
      </w:r>
      <w:r w:rsidRPr="0088117F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18569E" w:rsidRPr="0088117F">
        <w:rPr>
          <w:rFonts w:ascii="Times New Roman" w:hAnsi="Times New Roman" w:cs="Times New Roman"/>
          <w:sz w:val="26"/>
          <w:szCs w:val="26"/>
        </w:rPr>
        <w:t>й</w:t>
      </w:r>
      <w:r w:rsidRPr="0088117F">
        <w:rPr>
          <w:rFonts w:ascii="Times New Roman" w:hAnsi="Times New Roman" w:cs="Times New Roman"/>
          <w:sz w:val="26"/>
          <w:szCs w:val="26"/>
        </w:rPr>
        <w:t xml:space="preserve"> от физических и юридических лиц, предусмотренны</w:t>
      </w:r>
      <w:r w:rsidR="0018569E" w:rsidRPr="0088117F">
        <w:rPr>
          <w:rFonts w:ascii="Times New Roman" w:hAnsi="Times New Roman" w:cs="Times New Roman"/>
          <w:sz w:val="26"/>
          <w:szCs w:val="26"/>
        </w:rPr>
        <w:t>х</w:t>
      </w:r>
      <w:r w:rsidRPr="0088117F">
        <w:rPr>
          <w:rFonts w:ascii="Times New Roman" w:hAnsi="Times New Roman" w:cs="Times New Roman"/>
          <w:sz w:val="26"/>
          <w:szCs w:val="26"/>
        </w:rPr>
        <w:t xml:space="preserve"> на софинанси</w:t>
      </w:r>
      <w:r w:rsidR="000A1C08" w:rsidRPr="0088117F">
        <w:rPr>
          <w:rFonts w:ascii="Times New Roman" w:hAnsi="Times New Roman" w:cs="Times New Roman"/>
          <w:sz w:val="26"/>
          <w:szCs w:val="26"/>
        </w:rPr>
        <w:t xml:space="preserve">рование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0A1C08" w:rsidRPr="0088117F">
        <w:rPr>
          <w:rFonts w:ascii="Times New Roman" w:hAnsi="Times New Roman" w:cs="Times New Roman"/>
          <w:sz w:val="26"/>
          <w:szCs w:val="26"/>
        </w:rPr>
        <w:t>рограммы.</w:t>
      </w:r>
    </w:p>
    <w:p w:rsidR="000A1C08" w:rsidRPr="0088117F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При этом одна третья объема средств подлежит направлению на софинансирование мероприятий по благоустройству общественных территорий, </w:t>
      </w:r>
    </w:p>
    <w:p w:rsidR="000A1C08" w:rsidRPr="0088117F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не менее двух третьих объема средств подлежит направлению на софинансирование мероприятий по благоустройству дворовых территорий.</w:t>
      </w:r>
    </w:p>
    <w:p w:rsidR="000A1C08" w:rsidRPr="0088117F" w:rsidRDefault="008E1852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Размер безвозмездных поступлений от физических и юридических лиц, предусмотренных на софинансирование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  <w:r w:rsidR="006950B0" w:rsidRPr="0088117F">
        <w:rPr>
          <w:rFonts w:ascii="Times New Roman" w:hAnsi="Times New Roman" w:cs="Times New Roman"/>
          <w:sz w:val="26"/>
          <w:szCs w:val="26"/>
        </w:rPr>
        <w:t>,</w:t>
      </w:r>
      <w:r w:rsidRPr="0088117F">
        <w:rPr>
          <w:rFonts w:ascii="Times New Roman" w:hAnsi="Times New Roman" w:cs="Times New Roman"/>
          <w:sz w:val="26"/>
          <w:szCs w:val="26"/>
        </w:rPr>
        <w:t xml:space="preserve">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:rsidR="0018569E" w:rsidRPr="0088117F" w:rsidRDefault="005F7D7C" w:rsidP="00DC2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Ресурсное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 обеспечение реализации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рограммы за счет всех источников финансирования представлено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11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18569E"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1D1DAA" w:rsidRPr="0088117F" w:rsidRDefault="001D1DAA" w:rsidP="00DD78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04CA0" w:rsidRPr="0088117F" w:rsidRDefault="008439B2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  </w:t>
      </w:r>
      <w:r w:rsidR="00BE6C9E" w:rsidRPr="0088117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E5335" w:rsidRPr="0088117F">
        <w:rPr>
          <w:rFonts w:ascii="Times New Roman" w:hAnsi="Times New Roman" w:cs="Times New Roman"/>
          <w:sz w:val="26"/>
          <w:szCs w:val="26"/>
        </w:rPr>
        <w:t>1</w:t>
      </w:r>
      <w:r w:rsidR="00BE6C9E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88117F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FE5335" w:rsidRPr="0088117F">
        <w:rPr>
          <w:rFonts w:ascii="Times New Roman" w:hAnsi="Times New Roman" w:cs="Times New Roman"/>
          <w:sz w:val="26"/>
          <w:szCs w:val="26"/>
        </w:rPr>
        <w:t>рограмме</w:t>
      </w:r>
      <w:r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88117F" w:rsidRDefault="00BE6C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117F" w:rsidRDefault="0088117F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5335" w:rsidRDefault="00BE6C9E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С</w:t>
      </w:r>
      <w:r w:rsidR="00DC5E46" w:rsidRPr="0088117F">
        <w:rPr>
          <w:rFonts w:ascii="Times New Roman" w:hAnsi="Times New Roman" w:cs="Times New Roman"/>
          <w:sz w:val="26"/>
          <w:szCs w:val="26"/>
        </w:rPr>
        <w:t>ведения</w:t>
      </w:r>
      <w:r w:rsidRPr="0088117F">
        <w:rPr>
          <w:rFonts w:ascii="Times New Roman" w:hAnsi="Times New Roman" w:cs="Times New Roman"/>
          <w:sz w:val="26"/>
          <w:szCs w:val="26"/>
        </w:rPr>
        <w:t xml:space="preserve"> о показателях (индикаторах)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</w:p>
    <w:p w:rsidR="0088117F" w:rsidRPr="0088117F" w:rsidRDefault="0088117F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613" w:type="dxa"/>
        <w:tblInd w:w="1056" w:type="dxa"/>
        <w:tblLook w:val="04A0" w:firstRow="1" w:lastRow="0" w:firstColumn="1" w:lastColumn="0" w:noHBand="0" w:noVBand="1"/>
      </w:tblPr>
      <w:tblGrid>
        <w:gridCol w:w="732"/>
        <w:gridCol w:w="3676"/>
        <w:gridCol w:w="1632"/>
        <w:gridCol w:w="2573"/>
      </w:tblGrid>
      <w:tr w:rsidR="006950B0" w:rsidRPr="0088117F" w:rsidTr="00DA69C5">
        <w:tc>
          <w:tcPr>
            <w:tcW w:w="732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76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632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573" w:type="dxa"/>
            <w:vAlign w:val="center"/>
          </w:tcPr>
          <w:p w:rsidR="006950B0" w:rsidRPr="0088117F" w:rsidRDefault="00C40174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</w:t>
            </w:r>
            <w:r w:rsidR="006950B0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показателей</w:t>
            </w:r>
          </w:p>
        </w:tc>
      </w:tr>
      <w:tr w:rsidR="009C002B" w:rsidRPr="0088117F" w:rsidTr="00DA69C5">
        <w:tc>
          <w:tcPr>
            <w:tcW w:w="732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3" w:type="dxa"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9C5" w:rsidRPr="0088117F" w:rsidTr="00DA69C5">
        <w:tc>
          <w:tcPr>
            <w:tcW w:w="732" w:type="dxa"/>
            <w:vAlign w:val="center"/>
          </w:tcPr>
          <w:p w:rsidR="00DA69C5" w:rsidRPr="0088117F" w:rsidRDefault="00DA69C5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DA69C5" w:rsidRPr="0088117F" w:rsidRDefault="00DA69C5" w:rsidP="00843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дворовых территорий от общего количества дворовых территорий, подлежащих благоустройству в рамках Программы</w:t>
            </w:r>
          </w:p>
        </w:tc>
        <w:tc>
          <w:tcPr>
            <w:tcW w:w="1632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2573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A69C5" w:rsidRPr="0088117F" w:rsidRDefault="00DA69C5" w:rsidP="0069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9C5" w:rsidRPr="0088117F" w:rsidTr="00DA69C5">
        <w:tc>
          <w:tcPr>
            <w:tcW w:w="732" w:type="dxa"/>
            <w:vAlign w:val="center"/>
          </w:tcPr>
          <w:p w:rsidR="00DA69C5" w:rsidRPr="0088117F" w:rsidRDefault="00DA69C5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DA69C5" w:rsidRPr="0088117F" w:rsidRDefault="00DA69C5" w:rsidP="00843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Программы</w:t>
            </w:r>
          </w:p>
        </w:tc>
        <w:tc>
          <w:tcPr>
            <w:tcW w:w="1632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3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A69C5" w:rsidRPr="0088117F" w:rsidRDefault="00DA69C5" w:rsidP="0069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6C9E" w:rsidRPr="00363451" w:rsidRDefault="00BE6C9E" w:rsidP="00DD78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E46" w:rsidRDefault="00DC5E46" w:rsidP="00DD78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DD78D6">
          <w:headerReference w:type="default" r:id="rId9"/>
          <w:pgSz w:w="11906" w:h="16838"/>
          <w:pgMar w:top="567" w:right="566" w:bottom="568" w:left="1134" w:header="708" w:footer="708" w:gutter="0"/>
          <w:cols w:space="708"/>
          <w:docGrid w:linePitch="360"/>
        </w:sectPr>
      </w:pPr>
    </w:p>
    <w:p w:rsidR="006E35D0" w:rsidRPr="0088117F" w:rsidRDefault="008439B2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Приложение</w:t>
      </w:r>
      <w:r w:rsidR="003B0A0C" w:rsidRPr="0088117F">
        <w:rPr>
          <w:rFonts w:ascii="Times New Roman" w:hAnsi="Times New Roman" w:cs="Times New Roman"/>
          <w:sz w:val="26"/>
          <w:szCs w:val="26"/>
        </w:rPr>
        <w:t xml:space="preserve"> 2</w:t>
      </w:r>
      <w:r w:rsidR="00DC5E46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E46" w:rsidRPr="0088117F" w:rsidRDefault="00DC5E46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D5464E"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0D56D9" w:rsidRPr="00804CA0" w:rsidRDefault="000D56D9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2126E" w:rsidRDefault="0002126E" w:rsidP="000D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E46" w:rsidRPr="0088117F" w:rsidRDefault="00DC5E46" w:rsidP="000D56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Перечень</w:t>
      </w:r>
      <w:r w:rsidR="000D56D9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</w:p>
    <w:p w:rsidR="00073F5B" w:rsidRPr="0088117F" w:rsidRDefault="00073F5B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2DD1" w:rsidRPr="0088117F" w:rsidRDefault="00232DD1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69"/>
        <w:gridCol w:w="1678"/>
        <w:gridCol w:w="2458"/>
        <w:gridCol w:w="3119"/>
        <w:gridCol w:w="5038"/>
      </w:tblGrid>
      <w:tr w:rsidR="00823633" w:rsidRPr="0088117F" w:rsidTr="00DA69C5">
        <w:tc>
          <w:tcPr>
            <w:tcW w:w="816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2669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Цель, задача, мероприятия</w:t>
            </w:r>
          </w:p>
        </w:tc>
        <w:tc>
          <w:tcPr>
            <w:tcW w:w="167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45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</w:tcPr>
          <w:p w:rsidR="00823633" w:rsidRPr="0088117F" w:rsidRDefault="00823633" w:rsidP="0066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Сумма расходов, тыс.руб.</w:t>
            </w:r>
          </w:p>
        </w:tc>
        <w:tc>
          <w:tcPr>
            <w:tcW w:w="503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DA69C5" w:rsidRPr="0088117F" w:rsidTr="00DA69C5">
        <w:tc>
          <w:tcPr>
            <w:tcW w:w="816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A69C5" w:rsidRPr="0088117F" w:rsidRDefault="00DA69C5" w:rsidP="00DA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503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633" w:rsidRPr="0088117F" w:rsidTr="00DA69C5">
        <w:trPr>
          <w:trHeight w:val="455"/>
        </w:trPr>
        <w:tc>
          <w:tcPr>
            <w:tcW w:w="816" w:type="dxa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62" w:type="dxa"/>
            <w:gridSpan w:val="5"/>
          </w:tcPr>
          <w:p w:rsidR="00823633" w:rsidRPr="0088117F" w:rsidRDefault="00823633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Цель 1: Повышение</w:t>
            </w:r>
            <w:r w:rsidR="00073F5B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качества условий проживания населения</w:t>
            </w:r>
          </w:p>
        </w:tc>
      </w:tr>
      <w:tr w:rsidR="00823633" w:rsidRPr="0088117F" w:rsidTr="00DA69C5">
        <w:tc>
          <w:tcPr>
            <w:tcW w:w="15778" w:type="dxa"/>
            <w:gridSpan w:val="6"/>
          </w:tcPr>
          <w:p w:rsidR="00823633" w:rsidRPr="0088117F" w:rsidRDefault="00823633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Задача 1.</w:t>
            </w:r>
            <w:r w:rsidR="00073F5B" w:rsidRPr="0088117F">
              <w:rPr>
                <w:rFonts w:ascii="Times New Roman" w:hAnsi="Times New Roman" w:cs="Times New Roman"/>
                <w:sz w:val="26"/>
                <w:szCs w:val="26"/>
              </w:rPr>
              <w:t>Повышение уровня благоустройства дворовых территорий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Ремонт дворовых проездов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(далее, Отдел)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8C4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освещения дворовых территорий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Установка скамеек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Установка урн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823633" w:rsidRPr="0088117F" w:rsidTr="00DA69C5">
        <w:tc>
          <w:tcPr>
            <w:tcW w:w="15778" w:type="dxa"/>
            <w:gridSpan w:val="6"/>
          </w:tcPr>
          <w:p w:rsidR="00823633" w:rsidRPr="0088117F" w:rsidRDefault="00876AAF" w:rsidP="00F50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Задача 2</w:t>
            </w:r>
            <w:r w:rsidR="00823633" w:rsidRPr="008811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уровня б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лагоустройство 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Благоустройство  наиболее посещаемых территории общего пользования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</w:tbl>
    <w:p w:rsidR="00823633" w:rsidRPr="0088117F" w:rsidRDefault="00823633" w:rsidP="00823633">
      <w:pPr>
        <w:rPr>
          <w:sz w:val="26"/>
          <w:szCs w:val="26"/>
        </w:rPr>
      </w:pPr>
    </w:p>
    <w:p w:rsidR="00DC5E46" w:rsidRP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2A" w:rsidRDefault="00CE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072A" w:rsidRDefault="00CE072A" w:rsidP="00C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E072A" w:rsidSect="00804CA0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CE072A" w:rsidRPr="0088117F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 3</w:t>
      </w: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88117F" w:rsidRPr="0088117F" w:rsidRDefault="0088117F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23633" w:rsidRPr="0088117F" w:rsidRDefault="00823633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072A" w:rsidRPr="0088117F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1C36" w:rsidRPr="0088117F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</w:t>
      </w:r>
    </w:p>
    <w:p w:rsidR="00CE072A" w:rsidRPr="0088117F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общественных территорий, подлежащих благоустройству в 2017 году, а также иные</w:t>
      </w:r>
      <w:r w:rsidR="008C4101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</w:t>
      </w:r>
      <w:r w:rsidR="001B1C36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934763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благоустройству, подлежащие реализации в 2</w:t>
      </w:r>
      <w:r w:rsidR="001B1C36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017 году</w:t>
      </w:r>
      <w:r w:rsidR="00173F30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*</w:t>
      </w:r>
    </w:p>
    <w:p w:rsidR="00414115" w:rsidRDefault="00414115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8117F" w:rsidRDefault="0088117F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8117F" w:rsidRPr="0088117F" w:rsidRDefault="0088117F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94E08" w:rsidRPr="0088117F" w:rsidRDefault="003B0A0C" w:rsidP="00EE5F0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Сквер</w:t>
      </w:r>
      <w:r w:rsidR="00F94E0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 фонтана</w:t>
      </w:r>
      <w:r w:rsidR="008C4101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проспек</w:t>
      </w:r>
      <w:r w:rsidR="00C40174">
        <w:rPr>
          <w:rFonts w:ascii="Times New Roman" w:eastAsiaTheme="minorHAnsi" w:hAnsi="Times New Roman" w:cs="Times New Roman"/>
          <w:sz w:val="26"/>
          <w:szCs w:val="26"/>
          <w:lang w:eastAsia="en-US"/>
        </w:rPr>
        <w:t>те Пролетарский.</w:t>
      </w: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1C36" w:rsidRPr="0088117F" w:rsidRDefault="00173F30" w:rsidP="00173F3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* сведения вносятся с учётом реализации положений 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постановления администрации Кемского муниципального района от 31 марта 2017 года №193а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Об утверждении поряд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к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 и сроков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представления, рассмотрения и оценки предложений граждан и организаций о включении в муниципальную программу 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«Ф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ормирования современной городской среды на 2017 год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»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общественной территории, подлежащей благоустройству в 2017 году».</w:t>
      </w:r>
    </w:p>
    <w:p w:rsidR="00CE072A" w:rsidRPr="00934763" w:rsidRDefault="00CE0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76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D2F90" w:rsidRPr="0088117F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Приложение 4</w:t>
      </w:r>
    </w:p>
    <w:p w:rsidR="005D2F90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88117F" w:rsidRPr="0088117F" w:rsidRDefault="0088117F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3633" w:rsidRPr="0088117F" w:rsidRDefault="00823633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CE072A" w:rsidRDefault="00CE072A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многоквартирных домов, дворовые территории которых </w:t>
      </w:r>
      <w:r w:rsidR="005D2F90" w:rsidRPr="0088117F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88117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934763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и сроками представления, рассмотрения и оценки предложений заинтересованных лиц о включении дворовой территории в муниципальную программу Кемского городского поселения  «Формирование современной городской среды на 2017 год»</w:t>
      </w:r>
      <w:r w:rsidRPr="0088117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30921" w:rsidRPr="0088117F">
        <w:rPr>
          <w:rFonts w:ascii="Times New Roman" w:hAnsi="Times New Roman" w:cs="Times New Roman"/>
          <w:sz w:val="26"/>
          <w:szCs w:val="26"/>
        </w:rPr>
        <w:t>постановлением</w:t>
      </w:r>
      <w:r w:rsidR="004732E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30921" w:rsidRPr="0088117F">
        <w:rPr>
          <w:rFonts w:ascii="Times New Roman" w:hAnsi="Times New Roman" w:cs="Times New Roman"/>
          <w:sz w:val="26"/>
          <w:szCs w:val="26"/>
        </w:rPr>
        <w:t xml:space="preserve"> № 95 от 03.03.2017 года</w:t>
      </w:r>
    </w:p>
    <w:p w:rsidR="0088117F" w:rsidRPr="0088117F" w:rsidRDefault="0088117F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BD8" w:rsidRPr="0088117F" w:rsidRDefault="00904BD8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Мосорина, д. 1</w:t>
      </w:r>
    </w:p>
    <w:p w:rsidR="00173F30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Пуэтная, д. 2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Мосорина, д. 2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18</w:t>
      </w:r>
    </w:p>
    <w:p w:rsidR="00995A4C" w:rsidRPr="0088117F" w:rsidRDefault="00995A4C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20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4а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 ул. Фрунзе, д. 1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2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5</w:t>
      </w:r>
    </w:p>
    <w:p w:rsidR="00335DBD" w:rsidRDefault="00335DBD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8</w:t>
      </w:r>
    </w:p>
    <w:p w:rsidR="003949FF" w:rsidRPr="0088117F" w:rsidRDefault="003949FF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Кемь, ул. Полярная, д. 5</w:t>
      </w:r>
      <w:bookmarkStart w:id="0" w:name="_GoBack"/>
      <w:bookmarkEnd w:id="0"/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C3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F5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173F3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сведения вносятся с учётом реализации положений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</w:t>
      </w:r>
      <w:r w:rsidR="0002126E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02126E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емского муниципального района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 марта 2017 года №95 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а и сроков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Кемского городского поселения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«Ф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ормировани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</w:t>
      </w:r>
      <w:r w:rsidR="00904BD8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ой городской среды на 2017 год»</w:t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CE072A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F50FBC" w:rsidRPr="0088117F" w:rsidRDefault="00F50FBC" w:rsidP="00CE07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D2F90" w:rsidRPr="0088117F">
        <w:rPr>
          <w:rFonts w:ascii="Times New Roman" w:hAnsi="Times New Roman" w:cs="Times New Roman"/>
          <w:sz w:val="26"/>
          <w:szCs w:val="26"/>
        </w:rPr>
        <w:t>5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3633" w:rsidRPr="0088117F" w:rsidRDefault="00823633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Минимальный перечень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видов работ по благоустройству дворовых территорий, софинансируемых 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за счет средств субсидии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Республики Карелия</w:t>
      </w:r>
    </w:p>
    <w:p w:rsidR="0088117F" w:rsidRPr="0088117F" w:rsidRDefault="0088117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Ремонт дворовых проездов.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скамеек.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урн.</w:t>
      </w:r>
    </w:p>
    <w:p w:rsidR="00DC2441" w:rsidRPr="0088117F" w:rsidRDefault="00DC2441">
      <w:pPr>
        <w:rPr>
          <w:rFonts w:ascii="Times New Roman" w:hAnsi="Times New Roman" w:cs="Times New Roman"/>
          <w:sz w:val="26"/>
          <w:szCs w:val="26"/>
          <w:highlight w:val="yellow"/>
        </w:rPr>
      </w:pPr>
      <w:r w:rsidRPr="0088117F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D2F90" w:rsidRPr="0088117F">
        <w:rPr>
          <w:rFonts w:ascii="Times New Roman" w:hAnsi="Times New Roman" w:cs="Times New Roman"/>
          <w:sz w:val="26"/>
          <w:szCs w:val="26"/>
        </w:rPr>
        <w:t>6</w:t>
      </w:r>
      <w:r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3633" w:rsidRPr="0088117F" w:rsidRDefault="00823633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2441" w:rsidRPr="0088117F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Визуализированный перечень</w:t>
      </w: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88117F" w:rsidRPr="0088117F" w:rsidRDefault="0088117F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4D70" w:rsidRDefault="00A14D70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A14D70" w:rsidRPr="00A14D70" w:rsidTr="000C373E">
        <w:trPr>
          <w:trHeight w:val="545"/>
        </w:trPr>
        <w:tc>
          <w:tcPr>
            <w:tcW w:w="959" w:type="dxa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A14D70" w:rsidRPr="00A14D70" w:rsidTr="00A14D70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24100" cy="1695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- 1,5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380 мм;</w:t>
            </w:r>
          </w:p>
          <w:p w:rsidR="00A14D70" w:rsidRP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- 680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05075" cy="1819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- 385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- 660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4D7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9325" cy="1666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со спинкой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- 2,085 м;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- 770 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- 975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59" w:type="dxa"/>
            <w:vAlign w:val="center"/>
          </w:tcPr>
          <w:p w:rsidR="00A14D70" w:rsidRP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 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39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0C373E"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- 665мм;</w:t>
            </w:r>
          </w:p>
          <w:p w:rsid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- 420 мм;</w:t>
            </w:r>
          </w:p>
          <w:p w:rsidR="00A14D70" w:rsidRP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10 л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97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для мусора: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- 540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400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14D70" w:rsidRPr="00A14D70" w:rsidRDefault="000C373E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20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уличная: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- 570 мм;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- 480 мм;</w:t>
            </w:r>
          </w:p>
          <w:p w:rsidR="00A14D70" w:rsidRPr="00A14D70" w:rsidRDefault="000C373E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40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C2441" w:rsidRDefault="00DC2441" w:rsidP="00DC2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50FBC" w:rsidRPr="00F50FBC" w:rsidSect="00477DD5">
          <w:headerReference w:type="default" r:id="rId16"/>
          <w:headerReference w:type="first" r:id="rId17"/>
          <w:pgSz w:w="11907" w:h="16840"/>
          <w:pgMar w:top="709" w:right="851" w:bottom="993" w:left="1701" w:header="720" w:footer="720" w:gutter="0"/>
          <w:cols w:space="720"/>
          <w:titlePg/>
          <w:docGrid w:linePitch="381"/>
        </w:sectPr>
      </w:pPr>
    </w:p>
    <w:p w:rsidR="00F50FBC" w:rsidRPr="0088117F" w:rsidRDefault="00904BD8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5D2F90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F50FBC" w:rsidRPr="0088117F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823633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</w:t>
      </w: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3633" w:rsidRPr="0088117F" w:rsidRDefault="00823633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Дополнительный перечень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софинансируемых за счет средств субсидии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Республики Карелия</w:t>
      </w: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бордюрных камней.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качелей.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Оборудование детской (игровой) площадки.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Оборудование спортивной площадки.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газонных ограждений, декоративных ограждений.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Обрезка деревьев и кустов.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Удаление аварийных деревьев.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хозяйственно-бытовых площадок для установки                  контейнеров-мусоросборников.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Отсыпка дворовой территории (выравнивание).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площадок для выгула животных.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Оборудование велопарковки.</w:t>
      </w:r>
    </w:p>
    <w:p w:rsidR="00DC5E46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ливневой канализации.</w:t>
      </w:r>
    </w:p>
    <w:p w:rsidR="007E771A" w:rsidRPr="0088117F" w:rsidRDefault="00DC2441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br w:type="page"/>
      </w:r>
      <w:r w:rsidR="007E771A" w:rsidRPr="0088117F">
        <w:rPr>
          <w:rFonts w:ascii="Times New Roman" w:eastAsia="Calibri" w:hAnsi="Times New Roman" w:cs="Times New Roman"/>
          <w:sz w:val="26"/>
          <w:szCs w:val="26"/>
        </w:rPr>
        <w:t xml:space="preserve">Приложение 8 </w:t>
      </w:r>
    </w:p>
    <w:p w:rsidR="007E771A" w:rsidRPr="0088117F" w:rsidRDefault="007E771A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eastAsia="Calibri" w:hAnsi="Times New Roman" w:cs="Times New Roman"/>
          <w:sz w:val="26"/>
          <w:szCs w:val="26"/>
        </w:rPr>
        <w:t>П</w:t>
      </w: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рограмме </w:t>
      </w:r>
    </w:p>
    <w:p w:rsidR="00823633" w:rsidRPr="0088117F" w:rsidRDefault="00823633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>Укрупненные показатели сметной стоимости</w:t>
      </w: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работ по благоустройству дворовых территорий </w:t>
      </w:r>
    </w:p>
    <w:p w:rsidR="007E771A" w:rsidRPr="0088117F" w:rsidRDefault="007E771A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>в рамках приоритетного проекта «Комфортная городская среда»</w:t>
      </w:r>
    </w:p>
    <w:p w:rsidR="00F50E87" w:rsidRPr="00F50E87" w:rsidRDefault="00F50E87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022"/>
        <w:gridCol w:w="1985"/>
        <w:gridCol w:w="1984"/>
      </w:tblGrid>
      <w:tr w:rsidR="007E771A" w:rsidRPr="0088117F" w:rsidTr="00384B18">
        <w:trPr>
          <w:trHeight w:val="565"/>
        </w:trPr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Стоимость в ценах 1 квартала 2017 года с НДС, руб.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дел 1. Ремонт дворовых проездов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1387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635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Ямочный ремонт асфальтобетонного покрытия: добавка в ямы песка, щебня, розлив битума, 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1073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842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Выемка непригодного грунта толщ.15см, устройство основания из щебня  толщ.15см,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1182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1641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1867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1031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1102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1310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1092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1271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2. Обеспечение освещения дворовых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светильников на кронштейнах над подъездами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7803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41312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47456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Замена светильников на стене здания, замена кабеля освещения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11410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59737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3. Установка скамеек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7523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бетонной скамьи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9300 - 9876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скамеек ж/б на грунт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6750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4. Установка урн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2284-2913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бетонной урны тип-9 с вкладышем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4000 - 5670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ж/б урны на грунт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3243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5. Обустройство тротуаров, пешеходных дорожек (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тротуарной плиткой)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растительного грунта под тротуар,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1144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1015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1727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л 6. Установка бордюрных камней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бортового камня (дорожного)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1135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бортового камня (тротуарного)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914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бортового камня, щебеночного основания под ним, вывоз мусора, устройство  щебеночного основания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1640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бордюрного камня сеч.200х80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877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7. Установка качелей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44222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качелей двойных 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28850 - 29552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качалки-балансир (малая)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12990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8 Устройство гостевой с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тоянки (автомобильной парковки)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469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985" w:type="dxa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496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985" w:type="dxa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1463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1601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9. Оборудов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ание детской (игровой) площадки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Монтаж детского оборудования на спортивной площадке (Игровой комплекс "Ривьера"(5611);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Песочный дворик с горкой "Мадагаскар"(Д4279);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детский спортивный комплекс (6171);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на пружине "Мотоцикл"(4112);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на пружине "Динозаврик"(4119);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балансир  "Средняя"(4104); карусель (4192); качели (2 сиденья до 12 лет.)(4155+4968);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качели (2 сиденья до 3 лет.) ( 4155+4969) – площадка 560м2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766343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90017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2378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и сборка детского игрового комплекса «Фруктовый сад» 5101 производства 3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group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167112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карусели КАР-1.8 (Диком)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32766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585495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240345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98942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345797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234 388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128 220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 установка карусели (Детская карусель №4192 «Мир Детям»), 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494503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10. О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борудование спортивной площадки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23419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156561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комплекса "Трапеция" и рукохода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98 519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1735245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169017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11. Озеленение территории (высадка, формирование крон деревьев, кус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тарников, устройство цветников)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407-463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1839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760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530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6234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 живой изгороди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1651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2400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12. Установка газонных огра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ждений, декоративных ограждений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газонных ограждений из металлических секций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=2м,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=0,5м из профильной трубы 25х25 с устройством фундаментов</w:t>
            </w:r>
          </w:p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879 - 992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ограждений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=0,5 из деревянного штакетника с окраской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823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л 13. Обрезка деревьев и кустов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Стрижка живых изгородей (легким кусторезом)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 развернутой поверхности кроны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14. Удаление аварийных деревьев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Валка деревьев до 100 мм (тополь),с вывозом мусора.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4190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Валка деревьев (без корчевки), вывоз на свалку  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3677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Снос сараев с вывозкой мусора от разборки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10м2 площади застройки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6796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16. Устройство хозяйственно-бытовых площадок для установки контейнеров-мусоросборников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658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17. Отсыпка дво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ровой территории (выравнивание)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362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Засыпка песком с уплотнением.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м3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537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904BD8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18</w:t>
            </w:r>
            <w:r w:rsidR="007E771A"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ливневой канализации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687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4250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1132</w:t>
            </w:r>
          </w:p>
        </w:tc>
      </w:tr>
    </w:tbl>
    <w:p w:rsidR="007E771A" w:rsidRPr="0088117F" w:rsidRDefault="007E771A" w:rsidP="007E771A">
      <w:pPr>
        <w:rPr>
          <w:rFonts w:ascii="Times New Roman" w:eastAsia="Calibri" w:hAnsi="Times New Roman" w:cs="Times New Roman"/>
          <w:sz w:val="26"/>
          <w:szCs w:val="26"/>
        </w:rPr>
      </w:pPr>
    </w:p>
    <w:p w:rsidR="00C56431" w:rsidRDefault="00C56431" w:rsidP="007E77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6431" w:rsidRDefault="00C56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 xml:space="preserve">Приложение 9 </w:t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к Программе</w:t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Порядок</w:t>
      </w: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Программы, механизм контроля за их расходованием.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целях реализации настоящего Порядка используются следующие понятия:</w:t>
      </w:r>
    </w:p>
    <w:p w:rsidR="00E740BF" w:rsidRPr="007235DA" w:rsidRDefault="00E740BF" w:rsidP="00E740B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минимальный перечень работ – установленный Программой перечень работ по благоустройству дворовой территории;</w:t>
      </w:r>
    </w:p>
    <w:p w:rsidR="00E740BF" w:rsidRPr="007235DA" w:rsidRDefault="00E740BF" w:rsidP="00E740B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дополнительный перечень работ – установленный Программой перечень работ по благоустройству дворовой территории;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7235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не требующая специальной квалификации</w:t>
      </w:r>
      <w:r w:rsidRPr="007235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 и выполняемая в качестве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от 3 марта 2017 года №94 для рассмотрения и оценки предложений заинтересованных лиц, а также реализации контроля за реализацией Программы.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З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Кемского муниципального района (далее – администрация).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5DA">
        <w:rPr>
          <w:rFonts w:ascii="Times New Roman" w:eastAsia="Calibri" w:hAnsi="Times New Roman" w:cs="Times New Roman"/>
          <w:sz w:val="26"/>
          <w:szCs w:val="26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235DA">
        <w:rPr>
          <w:rFonts w:ascii="Times New Roman" w:eastAsia="Calibri" w:hAnsi="Times New Roman" w:cs="Times New Roman"/>
          <w:color w:val="000000"/>
          <w:sz w:val="26"/>
          <w:szCs w:val="26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E740BF" w:rsidRPr="007235DA" w:rsidRDefault="00E740BF" w:rsidP="00E74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E740BF" w:rsidRPr="007235DA" w:rsidRDefault="00E740BF" w:rsidP="00E74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E740BF" w:rsidRPr="007235DA" w:rsidRDefault="00E740BF" w:rsidP="00E740B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E740BF" w:rsidRPr="007235DA" w:rsidRDefault="00E740BF" w:rsidP="00E740B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</w:t>
      </w:r>
      <w:r w:rsidRPr="007235DA">
        <w:rPr>
          <w:rFonts w:ascii="Times New Roman" w:hAnsi="Times New Roman" w:cs="Times New Roman"/>
          <w:sz w:val="26"/>
          <w:szCs w:val="26"/>
        </w:rPr>
        <w:t xml:space="preserve">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дворовых территорий, утвержденными общественной комиссией.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стоимости фактически выполненных работ.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11.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14.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16.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E740BF" w:rsidRPr="007235DA" w:rsidRDefault="00E740BF" w:rsidP="00E740BF">
      <w:pPr>
        <w:rPr>
          <w:sz w:val="26"/>
          <w:szCs w:val="26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4732E9" w:rsidRDefault="004732E9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C2441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риложение </w:t>
      </w:r>
      <w:r w:rsidR="005D2F90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</w:p>
    <w:p w:rsidR="00DC2441" w:rsidRPr="004732E9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разработки, обсуждения с заинтересованными лицами</w:t>
      </w: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и утверждения дизайн - проектов благоустройства дворовой территории</w:t>
      </w:r>
    </w:p>
    <w:p w:rsidR="00786E4E" w:rsidRPr="00FA5292" w:rsidRDefault="00786E4E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емых в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рограмму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(далее  - Порядок).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целей Порядка применяются следующие понятия:</w:t>
      </w:r>
    </w:p>
    <w:p w:rsidR="002968A5" w:rsidRPr="002968A5" w:rsidRDefault="002968A5" w:rsidP="003B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968A5" w:rsidRPr="00FA5292" w:rsidRDefault="002968A5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</w:t>
      </w:r>
      <w:r w:rsidR="000A26A7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292" w:rsidRPr="002968A5" w:rsidRDefault="00FA5292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общественная комиссия – комиссия, создаваемая в соответствии с постановлением администрации для рассмотрения и оценки предложений заинтересованных лиц, а также реализации контроля за реализацией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дизайн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 обеспечивается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заинтересованными лица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ми при содействии администрации.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 разрабатывается в отношении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подлежащих благоустройству в рамках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рограммы,</w:t>
      </w:r>
    </w:p>
    <w:p w:rsidR="002968A5" w:rsidRPr="002968A5" w:rsidRDefault="00577706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B213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968A5" w:rsidRPr="00C56431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может быть подготовлен в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сметным расчетом 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стоимости работ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968A5" w:rsidRPr="00C56431" w:rsidRDefault="00725CF8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6.</w:t>
      </w:r>
      <w:r w:rsidR="003B2130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:rsidR="002968A5" w:rsidRPr="00C56431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а)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осмотр дворовой территории,</w:t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предлагаемой к благоустройству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б)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FA5292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(при необходимости с участием представителей администрации)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в)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утверждение дизайн-проекта общественной комиссией.</w:t>
      </w:r>
    </w:p>
    <w:p w:rsidR="00FA5292" w:rsidRPr="00FA5292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Представитель заинтересованных лиц обязан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представить в общественную комиссию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позднее 30 апреля</w:t>
      </w:r>
      <w:r w:rsidR="00904BD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F7D7C" w:rsidRPr="00B84603" w:rsidRDefault="00FA5292" w:rsidP="00B84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  <w:sectPr w:rsidR="005F7D7C" w:rsidRPr="00B84603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утверждается общественной комиссией, решение об утверждении оформля</w:t>
      </w:r>
      <w:r w:rsidR="00E740BF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 в виде протокола заседания 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комиссии.</w:t>
      </w:r>
      <w:bookmarkStart w:id="1" w:name="Par46"/>
      <w:bookmarkEnd w:id="1"/>
      <w:r w:rsidR="00DC2441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5F7D7C" w:rsidRPr="004732E9" w:rsidRDefault="004732E9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C2441" w:rsidRPr="004732E9">
        <w:rPr>
          <w:rFonts w:ascii="Times New Roman" w:hAnsi="Times New Roman" w:cs="Times New Roman"/>
          <w:sz w:val="26"/>
          <w:szCs w:val="26"/>
        </w:rPr>
        <w:t>1</w:t>
      </w:r>
      <w:r w:rsidR="005D2F90" w:rsidRPr="004732E9">
        <w:rPr>
          <w:rFonts w:ascii="Times New Roman" w:hAnsi="Times New Roman" w:cs="Times New Roman"/>
          <w:sz w:val="26"/>
          <w:szCs w:val="26"/>
        </w:rPr>
        <w:t>1</w:t>
      </w:r>
      <w:r w:rsidR="005F7D7C" w:rsidRPr="004732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32E9" w:rsidRDefault="00823633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732E9">
        <w:rPr>
          <w:rFonts w:ascii="Times New Roman" w:hAnsi="Times New Roman" w:cs="Times New Roman"/>
          <w:sz w:val="26"/>
          <w:szCs w:val="26"/>
        </w:rPr>
        <w:t>к  П</w:t>
      </w:r>
      <w:r w:rsidR="005F7D7C" w:rsidRPr="004732E9">
        <w:rPr>
          <w:rFonts w:ascii="Times New Roman" w:hAnsi="Times New Roman" w:cs="Times New Roman"/>
          <w:sz w:val="26"/>
          <w:szCs w:val="26"/>
        </w:rPr>
        <w:t>рограмме</w:t>
      </w:r>
    </w:p>
    <w:p w:rsidR="004732E9" w:rsidRDefault="004732E9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32E9" w:rsidRDefault="004732E9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F7D7C" w:rsidRDefault="005F7D7C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732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32E9" w:rsidRPr="004732E9" w:rsidRDefault="004732E9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F7D7C" w:rsidRPr="00BD3ABA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3229"/>
        <w:gridCol w:w="3973"/>
        <w:gridCol w:w="4247"/>
        <w:gridCol w:w="4676"/>
      </w:tblGrid>
      <w:tr w:rsidR="007224C3" w:rsidRPr="00BD3ABA" w:rsidTr="004732E9">
        <w:trPr>
          <w:trHeight w:val="30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13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EF79E9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2017 год </w:t>
            </w: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(тыс. рублей) </w:t>
            </w:r>
          </w:p>
        </w:tc>
      </w:tr>
      <w:tr w:rsidR="007224C3" w:rsidRPr="00BD3ABA" w:rsidTr="004732E9">
        <w:trPr>
          <w:trHeight w:val="479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7224C3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4C3" w:rsidRPr="00BD3ABA" w:rsidTr="004732E9">
        <w:trPr>
          <w:trHeight w:val="373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4C3" w:rsidRPr="0088117F" w:rsidRDefault="007224C3" w:rsidP="00EF7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</w:t>
            </w:r>
            <w:r w:rsidR="00EF79E9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городской среды на территории Кемского городского поселения на 2017</w:t>
            </w:r>
            <w:r w:rsidR="0093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год»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C3" w:rsidRPr="0088117F" w:rsidRDefault="002379EC" w:rsidP="0088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3701,2</w:t>
            </w:r>
            <w:r w:rsidR="0082040B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24C3" w:rsidRPr="00BD3ABA" w:rsidTr="004732E9">
        <w:trPr>
          <w:trHeight w:val="134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88117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</w:t>
            </w:r>
            <w:r w:rsidR="00DA46FE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Кемского муниципального района</w:t>
            </w:r>
          </w:p>
          <w:p w:rsidR="0082040B" w:rsidRPr="0088117F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(ответственный исполнитель, заказчик- координатор)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904BD8" w:rsidP="00904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 из </w:t>
            </w:r>
            <w:r w:rsidR="007224C3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Республики Карелия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2379E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3389,1</w:t>
            </w:r>
          </w:p>
        </w:tc>
      </w:tr>
      <w:tr w:rsidR="0082040B" w:rsidRPr="00BD3ABA" w:rsidTr="004732E9">
        <w:trPr>
          <w:trHeight w:val="134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040B" w:rsidRPr="0088117F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Pr="0088117F" w:rsidRDefault="0082040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Pr="0088117F" w:rsidRDefault="0082040B" w:rsidP="0088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88117F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Кемского городского поселения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0B" w:rsidRPr="0088117F" w:rsidRDefault="0088117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218,47</w:t>
            </w:r>
          </w:p>
        </w:tc>
      </w:tr>
      <w:tr w:rsidR="007224C3" w:rsidRPr="00BD3ABA" w:rsidTr="004732E9">
        <w:trPr>
          <w:trHeight w:val="184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88117F" w:rsidP="00881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</w:t>
            </w:r>
            <w:r w:rsidR="007224C3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поступления </w:t>
            </w: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физических и юридических лиц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C3" w:rsidRPr="0088117F" w:rsidRDefault="0088117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93,63</w:t>
            </w:r>
          </w:p>
        </w:tc>
      </w:tr>
      <w:tr w:rsidR="007224C3" w:rsidRPr="00BD3ABA" w:rsidTr="004732E9">
        <w:trPr>
          <w:trHeight w:val="809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4C3" w:rsidRPr="0088117F" w:rsidRDefault="007224C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88117F" w:rsidRDefault="00B209D2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управляющие компании</w:t>
            </w:r>
            <w:r w:rsidR="00EE5F09"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(участник)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4C3" w:rsidRPr="0088117F" w:rsidRDefault="00EE5F0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C3" w:rsidRPr="0088117F" w:rsidRDefault="00DA46FE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77DD5" w:rsidRDefault="00477DD5" w:rsidP="00C5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7DD5" w:rsidSect="00C56431">
      <w:pgSz w:w="16838" w:h="11906" w:orient="landscape"/>
      <w:pgMar w:top="1134" w:right="323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49" w:rsidRDefault="00C61A49" w:rsidP="001004E8">
      <w:pPr>
        <w:spacing w:after="0" w:line="240" w:lineRule="auto"/>
      </w:pPr>
      <w:r>
        <w:separator/>
      </w:r>
    </w:p>
  </w:endnote>
  <w:endnote w:type="continuationSeparator" w:id="0">
    <w:p w:rsidR="00C61A49" w:rsidRDefault="00C61A49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49" w:rsidRDefault="00C61A49" w:rsidP="001004E8">
      <w:pPr>
        <w:spacing w:after="0" w:line="240" w:lineRule="auto"/>
      </w:pPr>
      <w:r>
        <w:separator/>
      </w:r>
    </w:p>
  </w:footnote>
  <w:footnote w:type="continuationSeparator" w:id="0">
    <w:p w:rsidR="00C61A49" w:rsidRDefault="00C61A49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284983"/>
      <w:docPartObj>
        <w:docPartGallery w:val="Page Numbers (Top of Page)"/>
        <w:docPartUnique/>
      </w:docPartObj>
    </w:sdtPr>
    <w:sdtEndPr/>
    <w:sdtContent>
      <w:p w:rsidR="00C40174" w:rsidRDefault="00C61A49" w:rsidP="00AA206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0174" w:rsidRDefault="00C401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831664201"/>
    </w:sdtPr>
    <w:sdtEndPr/>
    <w:sdtContent>
      <w:p w:rsidR="00C40174" w:rsidRPr="001004E8" w:rsidRDefault="004E063E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="00C40174"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3949FF">
          <w:rPr>
            <w:noProof/>
            <w:sz w:val="22"/>
            <w:szCs w:val="22"/>
          </w:rPr>
          <w:t>26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74" w:rsidRDefault="00C40174" w:rsidP="00477DD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07D8"/>
    <w:multiLevelType w:val="hybridMultilevel"/>
    <w:tmpl w:val="32CE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A14F1"/>
    <w:multiLevelType w:val="hybridMultilevel"/>
    <w:tmpl w:val="F7BC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14900"/>
    <w:rsid w:val="0002126E"/>
    <w:rsid w:val="00035346"/>
    <w:rsid w:val="00073F5B"/>
    <w:rsid w:val="0008011C"/>
    <w:rsid w:val="00080E8F"/>
    <w:rsid w:val="000A1C08"/>
    <w:rsid w:val="000A26A7"/>
    <w:rsid w:val="000B16B1"/>
    <w:rsid w:val="000B2B83"/>
    <w:rsid w:val="000C373E"/>
    <w:rsid w:val="000D56D9"/>
    <w:rsid w:val="000D68AC"/>
    <w:rsid w:val="000E5195"/>
    <w:rsid w:val="000E71EE"/>
    <w:rsid w:val="000F2D56"/>
    <w:rsid w:val="001004E8"/>
    <w:rsid w:val="001077BA"/>
    <w:rsid w:val="00145B82"/>
    <w:rsid w:val="00150013"/>
    <w:rsid w:val="001572FC"/>
    <w:rsid w:val="00165105"/>
    <w:rsid w:val="00166842"/>
    <w:rsid w:val="00173F30"/>
    <w:rsid w:val="0018569E"/>
    <w:rsid w:val="001B1C36"/>
    <w:rsid w:val="001C09EB"/>
    <w:rsid w:val="001D1DAA"/>
    <w:rsid w:val="001E3939"/>
    <w:rsid w:val="001F1EAE"/>
    <w:rsid w:val="002179E6"/>
    <w:rsid w:val="00232DD1"/>
    <w:rsid w:val="002379EC"/>
    <w:rsid w:val="00251F3B"/>
    <w:rsid w:val="002542CE"/>
    <w:rsid w:val="00275353"/>
    <w:rsid w:val="0027678B"/>
    <w:rsid w:val="00287118"/>
    <w:rsid w:val="0029113D"/>
    <w:rsid w:val="002968A5"/>
    <w:rsid w:val="002B02D6"/>
    <w:rsid w:val="002B3322"/>
    <w:rsid w:val="002C258F"/>
    <w:rsid w:val="002C317C"/>
    <w:rsid w:val="002C3D3C"/>
    <w:rsid w:val="002D55B7"/>
    <w:rsid w:val="003120AF"/>
    <w:rsid w:val="00321FDC"/>
    <w:rsid w:val="00335DBD"/>
    <w:rsid w:val="00347FEE"/>
    <w:rsid w:val="003513B6"/>
    <w:rsid w:val="003560CE"/>
    <w:rsid w:val="00363451"/>
    <w:rsid w:val="003763B8"/>
    <w:rsid w:val="00377316"/>
    <w:rsid w:val="00384B18"/>
    <w:rsid w:val="003915BB"/>
    <w:rsid w:val="003949FF"/>
    <w:rsid w:val="003B0A0C"/>
    <w:rsid w:val="003B2130"/>
    <w:rsid w:val="003D7DBE"/>
    <w:rsid w:val="003F4245"/>
    <w:rsid w:val="003F6DA8"/>
    <w:rsid w:val="004110FA"/>
    <w:rsid w:val="00414115"/>
    <w:rsid w:val="00417E63"/>
    <w:rsid w:val="0043555C"/>
    <w:rsid w:val="00436DEB"/>
    <w:rsid w:val="00436E47"/>
    <w:rsid w:val="00465A0F"/>
    <w:rsid w:val="00470346"/>
    <w:rsid w:val="004732E9"/>
    <w:rsid w:val="00477DD5"/>
    <w:rsid w:val="0048553D"/>
    <w:rsid w:val="0048749B"/>
    <w:rsid w:val="00496C60"/>
    <w:rsid w:val="004B7DEB"/>
    <w:rsid w:val="004D2585"/>
    <w:rsid w:val="004E063E"/>
    <w:rsid w:val="00505333"/>
    <w:rsid w:val="00510AB6"/>
    <w:rsid w:val="00515C7A"/>
    <w:rsid w:val="00517AFF"/>
    <w:rsid w:val="005203B0"/>
    <w:rsid w:val="005206D3"/>
    <w:rsid w:val="005213CE"/>
    <w:rsid w:val="00526B51"/>
    <w:rsid w:val="00570FCB"/>
    <w:rsid w:val="00577706"/>
    <w:rsid w:val="005B1D04"/>
    <w:rsid w:val="005D2F90"/>
    <w:rsid w:val="005E4958"/>
    <w:rsid w:val="005F7D7C"/>
    <w:rsid w:val="006015FB"/>
    <w:rsid w:val="006411A3"/>
    <w:rsid w:val="00667AF1"/>
    <w:rsid w:val="006950B0"/>
    <w:rsid w:val="006C2602"/>
    <w:rsid w:val="006E35D0"/>
    <w:rsid w:val="00703D28"/>
    <w:rsid w:val="007224C3"/>
    <w:rsid w:val="00725CF8"/>
    <w:rsid w:val="00762B1E"/>
    <w:rsid w:val="00763DEF"/>
    <w:rsid w:val="00774FFB"/>
    <w:rsid w:val="0078276A"/>
    <w:rsid w:val="00786E4E"/>
    <w:rsid w:val="0079242B"/>
    <w:rsid w:val="007C3359"/>
    <w:rsid w:val="007C3852"/>
    <w:rsid w:val="007D741E"/>
    <w:rsid w:val="007E59AC"/>
    <w:rsid w:val="007E771A"/>
    <w:rsid w:val="007F6760"/>
    <w:rsid w:val="00800088"/>
    <w:rsid w:val="00804CA0"/>
    <w:rsid w:val="00813365"/>
    <w:rsid w:val="00817729"/>
    <w:rsid w:val="0082040B"/>
    <w:rsid w:val="00823633"/>
    <w:rsid w:val="008439B2"/>
    <w:rsid w:val="0086554F"/>
    <w:rsid w:val="00865D1A"/>
    <w:rsid w:val="00867FB4"/>
    <w:rsid w:val="008743E8"/>
    <w:rsid w:val="00876AAF"/>
    <w:rsid w:val="00881005"/>
    <w:rsid w:val="0088117F"/>
    <w:rsid w:val="0088121F"/>
    <w:rsid w:val="008813E1"/>
    <w:rsid w:val="008B041A"/>
    <w:rsid w:val="008C4101"/>
    <w:rsid w:val="008E1852"/>
    <w:rsid w:val="009024BE"/>
    <w:rsid w:val="009038FE"/>
    <w:rsid w:val="00904BD8"/>
    <w:rsid w:val="0091235B"/>
    <w:rsid w:val="00925D16"/>
    <w:rsid w:val="00934763"/>
    <w:rsid w:val="00935AB0"/>
    <w:rsid w:val="009362D3"/>
    <w:rsid w:val="00945A77"/>
    <w:rsid w:val="00954657"/>
    <w:rsid w:val="00977191"/>
    <w:rsid w:val="00985EF7"/>
    <w:rsid w:val="009905F8"/>
    <w:rsid w:val="00995A4C"/>
    <w:rsid w:val="009B6A91"/>
    <w:rsid w:val="009C002B"/>
    <w:rsid w:val="009E46F9"/>
    <w:rsid w:val="009E5BF9"/>
    <w:rsid w:val="009E6C05"/>
    <w:rsid w:val="00A01052"/>
    <w:rsid w:val="00A12950"/>
    <w:rsid w:val="00A14D70"/>
    <w:rsid w:val="00A15917"/>
    <w:rsid w:val="00A263F0"/>
    <w:rsid w:val="00A26A8A"/>
    <w:rsid w:val="00AA206A"/>
    <w:rsid w:val="00AA448D"/>
    <w:rsid w:val="00AC30D1"/>
    <w:rsid w:val="00AC591F"/>
    <w:rsid w:val="00AC7B82"/>
    <w:rsid w:val="00AF27E1"/>
    <w:rsid w:val="00B209D2"/>
    <w:rsid w:val="00B52710"/>
    <w:rsid w:val="00B80256"/>
    <w:rsid w:val="00B84603"/>
    <w:rsid w:val="00B853D0"/>
    <w:rsid w:val="00B92E0E"/>
    <w:rsid w:val="00BA5630"/>
    <w:rsid w:val="00BB319C"/>
    <w:rsid w:val="00BC3D4A"/>
    <w:rsid w:val="00BD020A"/>
    <w:rsid w:val="00BD3432"/>
    <w:rsid w:val="00BD34FD"/>
    <w:rsid w:val="00BE01F7"/>
    <w:rsid w:val="00BE07E1"/>
    <w:rsid w:val="00BE31CC"/>
    <w:rsid w:val="00BE6C9E"/>
    <w:rsid w:val="00BF2E7E"/>
    <w:rsid w:val="00BF3C1A"/>
    <w:rsid w:val="00C21333"/>
    <w:rsid w:val="00C30921"/>
    <w:rsid w:val="00C37628"/>
    <w:rsid w:val="00C40174"/>
    <w:rsid w:val="00C47454"/>
    <w:rsid w:val="00C56431"/>
    <w:rsid w:val="00C61A49"/>
    <w:rsid w:val="00C82670"/>
    <w:rsid w:val="00CA2231"/>
    <w:rsid w:val="00CB63EA"/>
    <w:rsid w:val="00CB68D8"/>
    <w:rsid w:val="00CC2ECA"/>
    <w:rsid w:val="00CD036A"/>
    <w:rsid w:val="00CD62EE"/>
    <w:rsid w:val="00CE072A"/>
    <w:rsid w:val="00CF4064"/>
    <w:rsid w:val="00D04562"/>
    <w:rsid w:val="00D5464E"/>
    <w:rsid w:val="00D77A48"/>
    <w:rsid w:val="00D819F2"/>
    <w:rsid w:val="00DA46FE"/>
    <w:rsid w:val="00DA69C5"/>
    <w:rsid w:val="00DC01AC"/>
    <w:rsid w:val="00DC2441"/>
    <w:rsid w:val="00DC4614"/>
    <w:rsid w:val="00DC5E3C"/>
    <w:rsid w:val="00DC5E46"/>
    <w:rsid w:val="00DC62B1"/>
    <w:rsid w:val="00DD78D6"/>
    <w:rsid w:val="00DF174A"/>
    <w:rsid w:val="00DF1BAA"/>
    <w:rsid w:val="00E01A17"/>
    <w:rsid w:val="00E12FA0"/>
    <w:rsid w:val="00E42EB4"/>
    <w:rsid w:val="00E53DCE"/>
    <w:rsid w:val="00E740BF"/>
    <w:rsid w:val="00E7769E"/>
    <w:rsid w:val="00E84095"/>
    <w:rsid w:val="00EB1C9E"/>
    <w:rsid w:val="00EC00DE"/>
    <w:rsid w:val="00ED21B9"/>
    <w:rsid w:val="00ED6398"/>
    <w:rsid w:val="00EE5F09"/>
    <w:rsid w:val="00EF33FE"/>
    <w:rsid w:val="00EF79E9"/>
    <w:rsid w:val="00F037DB"/>
    <w:rsid w:val="00F05C06"/>
    <w:rsid w:val="00F062B2"/>
    <w:rsid w:val="00F265D4"/>
    <w:rsid w:val="00F312A5"/>
    <w:rsid w:val="00F3140B"/>
    <w:rsid w:val="00F3348A"/>
    <w:rsid w:val="00F50E87"/>
    <w:rsid w:val="00F50FBC"/>
    <w:rsid w:val="00F72A78"/>
    <w:rsid w:val="00F753B3"/>
    <w:rsid w:val="00F94E08"/>
    <w:rsid w:val="00FA4F29"/>
    <w:rsid w:val="00FA5292"/>
    <w:rsid w:val="00FB06C8"/>
    <w:rsid w:val="00FC36D9"/>
    <w:rsid w:val="00FD453A"/>
    <w:rsid w:val="00FD787B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qFormat/>
    <w:rsid w:val="008236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633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D977-EC31-44C5-A663-C876752D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26</Pages>
  <Words>6442</Words>
  <Characters>36723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User60</cp:lastModifiedBy>
  <cp:revision>37</cp:revision>
  <cp:lastPrinted>2017-05-02T06:54:00Z</cp:lastPrinted>
  <dcterms:created xsi:type="dcterms:W3CDTF">2017-03-31T07:52:00Z</dcterms:created>
  <dcterms:modified xsi:type="dcterms:W3CDTF">2017-05-23T09:56:00Z</dcterms:modified>
</cp:coreProperties>
</file>