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2E" w:rsidRDefault="00C03003">
      <w:pPr>
        <w:pStyle w:val="a4"/>
        <w:shd w:val="clear" w:color="auto" w:fill="auto"/>
        <w:spacing w:after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ПРИЧИНЫ И ОЧАГИ</w:t>
      </w:r>
    </w:p>
    <w:p w:rsidR="0053162E" w:rsidRDefault="00C03003">
      <w:pPr>
        <w:pStyle w:val="a4"/>
        <w:shd w:val="clear" w:color="auto" w:fill="auto"/>
        <w:spacing w:after="0"/>
        <w:jc w:val="center"/>
        <w:rPr>
          <w:sz w:val="26"/>
          <w:szCs w:val="26"/>
        </w:rPr>
        <w:sectPr w:rsidR="0053162E">
          <w:type w:val="continuous"/>
          <w:pgSz w:w="11900" w:h="16840"/>
          <w:pgMar w:top="1453" w:right="958" w:bottom="725" w:left="1404" w:header="1025" w:footer="297" w:gutter="0"/>
          <w:cols w:space="720"/>
          <w:noEndnote/>
          <w:docGrid w:linePitch="360"/>
        </w:sectPr>
      </w:pPr>
      <w:r>
        <w:rPr>
          <w:sz w:val="26"/>
          <w:szCs w:val="26"/>
        </w:rPr>
        <w:t>проблем с приемом цифрового эфирного телевидения</w:t>
      </w:r>
      <w:r>
        <w:rPr>
          <w:sz w:val="26"/>
          <w:szCs w:val="26"/>
        </w:rPr>
        <w:br/>
        <w:t>по результатам анализа обращений на горячую линию</w:t>
      </w:r>
    </w:p>
    <w:p w:rsidR="0053162E" w:rsidRDefault="0053162E">
      <w:pPr>
        <w:spacing w:line="9" w:lineRule="exact"/>
        <w:rPr>
          <w:sz w:val="2"/>
          <w:szCs w:val="2"/>
        </w:rPr>
      </w:pPr>
    </w:p>
    <w:p w:rsidR="0053162E" w:rsidRDefault="0053162E">
      <w:pPr>
        <w:spacing w:line="1" w:lineRule="exact"/>
        <w:sectPr w:rsidR="0053162E">
          <w:type w:val="continuous"/>
          <w:pgSz w:w="11900" w:h="16840"/>
          <w:pgMar w:top="1446" w:right="0" w:bottom="1904" w:left="0" w:header="0" w:footer="3" w:gutter="0"/>
          <w:cols w:space="720"/>
          <w:noEndnote/>
          <w:docGrid w:linePitch="360"/>
        </w:sectPr>
      </w:pPr>
    </w:p>
    <w:p w:rsidR="0053162E" w:rsidRDefault="00C03003">
      <w:pPr>
        <w:pStyle w:val="a4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Регион: РЕСПУБЛИКА КАРЕЛИЯ</w:t>
      </w:r>
    </w:p>
    <w:p w:rsidR="0053162E" w:rsidRDefault="00C03003">
      <w:pPr>
        <w:spacing w:line="1" w:lineRule="exact"/>
        <w:rPr>
          <w:sz w:val="2"/>
          <w:szCs w:val="2"/>
        </w:rPr>
      </w:pPr>
      <w:r>
        <w:br w:type="column"/>
      </w:r>
    </w:p>
    <w:p w:rsidR="0053162E" w:rsidRDefault="00C03003">
      <w:pPr>
        <w:pStyle w:val="a4"/>
        <w:shd w:val="clear" w:color="auto" w:fill="auto"/>
        <w:spacing w:after="0"/>
        <w:rPr>
          <w:sz w:val="22"/>
          <w:szCs w:val="22"/>
        </w:rPr>
        <w:sectPr w:rsidR="0053162E">
          <w:type w:val="continuous"/>
          <w:pgSz w:w="11900" w:h="16840"/>
          <w:pgMar w:top="1446" w:right="1647" w:bottom="1904" w:left="1287" w:header="0" w:footer="3" w:gutter="0"/>
          <w:cols w:num="2" w:space="1987"/>
          <w:noEndnote/>
          <w:docGrid w:linePitch="360"/>
        </w:sectPr>
      </w:pPr>
      <w:r>
        <w:rPr>
          <w:sz w:val="22"/>
          <w:szCs w:val="22"/>
        </w:rPr>
        <w:t>Период: с 01.12.2019 по 01.03.2020</w:t>
      </w:r>
    </w:p>
    <w:p w:rsidR="0053162E" w:rsidRDefault="0053162E">
      <w:pPr>
        <w:spacing w:line="179" w:lineRule="exact"/>
        <w:rPr>
          <w:sz w:val="14"/>
          <w:szCs w:val="14"/>
        </w:rPr>
      </w:pPr>
    </w:p>
    <w:p w:rsidR="0053162E" w:rsidRDefault="0053162E">
      <w:pPr>
        <w:spacing w:line="1" w:lineRule="exact"/>
        <w:sectPr w:rsidR="0053162E">
          <w:type w:val="continuous"/>
          <w:pgSz w:w="11900" w:h="16840"/>
          <w:pgMar w:top="1446" w:right="0" w:bottom="1904" w:left="0" w:header="0" w:footer="3" w:gutter="0"/>
          <w:cols w:space="720"/>
          <w:noEndnote/>
          <w:docGrid w:linePitch="360"/>
        </w:sectPr>
      </w:pPr>
    </w:p>
    <w:p w:rsidR="0053162E" w:rsidRDefault="00C03003">
      <w:pPr>
        <w:pStyle w:val="1"/>
        <w:framePr w:w="912" w:h="221" w:wrap="none" w:vAnchor="text" w:hAnchor="page" w:x="1914" w:y="49"/>
        <w:shd w:val="clear" w:color="auto" w:fill="auto"/>
        <w:spacing w:after="0"/>
      </w:pPr>
      <w:r>
        <w:rPr>
          <w:b/>
          <w:bCs/>
        </w:rPr>
        <w:t>Индикаторы</w:t>
      </w:r>
    </w:p>
    <w:p w:rsidR="0053162E" w:rsidRDefault="00C03003">
      <w:pPr>
        <w:pStyle w:val="a7"/>
        <w:framePr w:w="1829" w:h="221" w:wrap="none" w:vAnchor="text" w:hAnchor="page" w:x="4069" w:y="64"/>
        <w:shd w:val="clear" w:color="auto" w:fill="auto"/>
      </w:pPr>
      <w:r>
        <w:t>Выше среднего по России</w:t>
      </w:r>
    </w:p>
    <w:p w:rsidR="0053162E" w:rsidRDefault="00C03003">
      <w:pPr>
        <w:pStyle w:val="1"/>
        <w:framePr w:w="2664" w:h="221" w:wrap="none" w:vAnchor="text" w:hAnchor="page" w:x="7847" w:y="39"/>
        <w:shd w:val="clear" w:color="auto" w:fill="auto"/>
        <w:spacing w:after="0"/>
      </w:pPr>
      <w:r>
        <w:rPr>
          <w:b/>
          <w:bCs/>
        </w:rPr>
        <w:t>Критически выше среднего по России</w:t>
      </w:r>
    </w:p>
    <w:p w:rsidR="0053162E" w:rsidRDefault="00C03003">
      <w:pPr>
        <w:pStyle w:val="a4"/>
        <w:framePr w:w="3019" w:h="307" w:wrap="none" w:vAnchor="text" w:hAnchor="page" w:x="1492" w:y="649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Количество обращений, всего</w:t>
      </w:r>
    </w:p>
    <w:p w:rsidR="0053162E" w:rsidRDefault="00C03003">
      <w:pPr>
        <w:pStyle w:val="a4"/>
        <w:framePr w:w="456" w:h="365" w:wrap="none" w:vAnchor="text" w:hAnchor="page" w:x="6196" w:y="591"/>
        <w:shd w:val="clear" w:color="auto" w:fill="auto"/>
        <w:spacing w:after="0"/>
        <w:rPr>
          <w:sz w:val="26"/>
          <w:szCs w:val="26"/>
        </w:rPr>
      </w:pPr>
      <w:r>
        <w:rPr>
          <w:sz w:val="26"/>
          <w:szCs w:val="26"/>
        </w:rPr>
        <w:t>608</w:t>
      </w:r>
    </w:p>
    <w:p w:rsidR="0053162E" w:rsidRDefault="00C03003">
      <w:pPr>
        <w:spacing w:line="360" w:lineRule="exact"/>
      </w:pPr>
      <w:r>
        <w:rPr>
          <w:noProof/>
          <w:lang w:bidi="ar-SA"/>
        </w:rPr>
        <w:drawing>
          <wp:anchor distT="0" distB="0" distL="0" distR="1304290" simplePos="0" relativeHeight="62914691" behindDoc="1" locked="0" layoutInCell="1" allowOverlap="1">
            <wp:simplePos x="0" y="0"/>
            <wp:positionH relativeFrom="page">
              <wp:posOffset>2202180</wp:posOffset>
            </wp:positionH>
            <wp:positionV relativeFrom="paragraph">
              <wp:posOffset>12700</wp:posOffset>
            </wp:positionV>
            <wp:extent cx="237490" cy="21336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6421120</wp:posOffset>
            </wp:positionH>
            <wp:positionV relativeFrom="paragraph">
              <wp:posOffset>377825</wp:posOffset>
            </wp:positionV>
            <wp:extent cx="237490" cy="2197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49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62E" w:rsidRDefault="0053162E">
      <w:pPr>
        <w:spacing w:after="594" w:line="1" w:lineRule="exact"/>
      </w:pPr>
    </w:p>
    <w:p w:rsidR="0053162E" w:rsidRDefault="0053162E">
      <w:pPr>
        <w:spacing w:line="1" w:lineRule="exact"/>
        <w:sectPr w:rsidR="0053162E">
          <w:type w:val="continuous"/>
          <w:pgSz w:w="11900" w:h="16840"/>
          <w:pgMar w:top="1446" w:right="1234" w:bottom="1904" w:left="1253" w:header="0" w:footer="3" w:gutter="0"/>
          <w:cols w:space="720"/>
          <w:noEndnote/>
          <w:docGrid w:linePitch="360"/>
        </w:sectPr>
      </w:pPr>
    </w:p>
    <w:p w:rsidR="0053162E" w:rsidRDefault="00C03003">
      <w:pPr>
        <w:pStyle w:val="a4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Вопросы подключения цифрового эфирного </w:t>
      </w:r>
      <w:r>
        <w:rPr>
          <w:sz w:val="22"/>
          <w:szCs w:val="22"/>
        </w:rPr>
        <w:t>ТВ</w:t>
      </w:r>
    </w:p>
    <w:p w:rsidR="0053162E" w:rsidRDefault="00C03003">
      <w:pPr>
        <w:spacing w:line="1" w:lineRule="exact"/>
        <w:rPr>
          <w:sz w:val="2"/>
          <w:szCs w:val="2"/>
        </w:rPr>
      </w:pPr>
      <w:r>
        <w:br w:type="column"/>
      </w:r>
    </w:p>
    <w:p w:rsidR="0053162E" w:rsidRDefault="00C03003">
      <w:pPr>
        <w:pStyle w:val="a4"/>
        <w:shd w:val="clear" w:color="auto" w:fill="auto"/>
        <w:spacing w:after="0"/>
        <w:rPr>
          <w:sz w:val="26"/>
          <w:szCs w:val="26"/>
        </w:rPr>
        <w:sectPr w:rsidR="0053162E">
          <w:type w:val="continuous"/>
          <w:pgSz w:w="11900" w:h="16840"/>
          <w:pgMar w:top="1446" w:right="1695" w:bottom="1904" w:left="1268" w:header="0" w:footer="3" w:gutter="0"/>
          <w:cols w:num="2" w:space="100"/>
          <w:noEndnote/>
          <w:docGrid w:linePitch="360"/>
        </w:sectPr>
      </w:pPr>
      <w:r>
        <w:rPr>
          <w:sz w:val="26"/>
          <w:szCs w:val="26"/>
        </w:rPr>
        <w:t>289 (48%)</w:t>
      </w:r>
    </w:p>
    <w:p w:rsidR="0053162E" w:rsidRDefault="00C03003">
      <w:pPr>
        <w:pStyle w:val="a4"/>
        <w:shd w:val="clear" w:color="auto" w:fill="auto"/>
        <w:spacing w:after="100"/>
        <w:rPr>
          <w:sz w:val="22"/>
          <w:szCs w:val="22"/>
        </w:rPr>
      </w:pPr>
      <w:r>
        <w:rPr>
          <w:sz w:val="22"/>
          <w:szCs w:val="22"/>
        </w:rPr>
        <w:t>Сложности с приемом цифрового эфирного ТВ</w:t>
      </w:r>
    </w:p>
    <w:p w:rsidR="0053162E" w:rsidRDefault="00C03003">
      <w:pPr>
        <w:pStyle w:val="30"/>
        <w:shd w:val="clear" w:color="auto" w:fill="auto"/>
        <w:spacing w:after="100"/>
      </w:pPr>
      <w:r>
        <w:t>Ухудшение приема из-за внешних помех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spacing w:after="0"/>
      </w:pPr>
      <w:r>
        <w:rPr>
          <w:b/>
          <w:bCs/>
        </w:rPr>
        <w:t>Помехи от базовых станций сотовых операторов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spacing w:after="0"/>
      </w:pPr>
      <w:r>
        <w:rPr>
          <w:b/>
          <w:bCs/>
        </w:rPr>
        <w:t>Помехи от сторонних организаций</w:t>
      </w:r>
    </w:p>
    <w:p w:rsidR="0053162E" w:rsidRDefault="00C03003">
      <w:pPr>
        <w:pStyle w:val="1"/>
        <w:shd w:val="clear" w:color="auto" w:fill="auto"/>
        <w:spacing w:after="0"/>
      </w:pPr>
      <w:r>
        <w:rPr>
          <w:b/>
          <w:bCs/>
        </w:rPr>
        <w:t>(заводы, аэропорты, ж/д и т.д.)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spacing w:after="140"/>
      </w:pPr>
      <w:r>
        <w:rPr>
          <w:b/>
          <w:bCs/>
        </w:rPr>
        <w:t>Неустранимые помехи</w:t>
      </w:r>
    </w:p>
    <w:p w:rsidR="0053162E" w:rsidRDefault="00C03003">
      <w:pPr>
        <w:pStyle w:val="30"/>
        <w:shd w:val="clear" w:color="auto" w:fill="auto"/>
        <w:spacing w:after="720"/>
      </w:pPr>
      <w:r>
        <w:t xml:space="preserve">Жалобы </w:t>
      </w:r>
      <w:r>
        <w:t>на отсутствие устойчивого приема в местах, не являющихся местами постоянного проживания (СНТ, ДНТ, ГСК и т.д.)</w:t>
      </w:r>
    </w:p>
    <w:p w:rsidR="0053162E" w:rsidRDefault="00C03003">
      <w:pPr>
        <w:pStyle w:val="30"/>
        <w:shd w:val="clear" w:color="auto" w:fill="auto"/>
      </w:pPr>
      <w:r>
        <w:t>«Зоны тени»</w:t>
      </w:r>
    </w:p>
    <w:p w:rsidR="0053162E" w:rsidRDefault="00C03003">
      <w:pPr>
        <w:pStyle w:val="30"/>
        <w:shd w:val="clear" w:color="auto" w:fill="auto"/>
        <w:spacing w:after="0"/>
      </w:pPr>
      <w:r>
        <w:t>Неисправности или несоответствие моделей или настроек пользовательских приемных антенн</w:t>
      </w:r>
    </w:p>
    <w:p w:rsidR="0053162E" w:rsidRDefault="00C03003">
      <w:pPr>
        <w:pStyle w:val="1"/>
        <w:shd w:val="clear" w:color="auto" w:fill="auto"/>
        <w:spacing w:after="780"/>
      </w:pPr>
      <w:r>
        <w:rPr>
          <w:b/>
          <w:bCs/>
        </w:rPr>
        <w:t>• Недостаточная высота установки приемной анте</w:t>
      </w:r>
      <w:r>
        <w:rPr>
          <w:b/>
          <w:bCs/>
        </w:rPr>
        <w:t>нны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spacing w:after="400"/>
      </w:pPr>
      <w:r>
        <w:rPr>
          <w:b/>
          <w:bCs/>
        </w:rPr>
        <w:t>Неверная направленность приемной антенны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6"/>
        </w:tabs>
        <w:spacing w:after="0"/>
      </w:pPr>
      <w:r>
        <w:rPr>
          <w:b/>
          <w:bCs/>
        </w:rPr>
        <w:t>Переусиление сигнала из-за неверно выбранной модели приемной антенны (активная вместо пассивной)</w:t>
      </w:r>
    </w:p>
    <w:p w:rsidR="0053162E" w:rsidRDefault="00C03003">
      <w:pPr>
        <w:pStyle w:val="1"/>
        <w:numPr>
          <w:ilvl w:val="0"/>
          <w:numId w:val="1"/>
        </w:numPr>
        <w:shd w:val="clear" w:color="auto" w:fill="auto"/>
        <w:tabs>
          <w:tab w:val="left" w:pos="211"/>
        </w:tabs>
        <w:spacing w:after="0"/>
      </w:pPr>
      <w:r>
        <w:rPr>
          <w:b/>
          <w:bCs/>
        </w:rPr>
        <w:t>Несоответствие модели приемной антенны</w:t>
      </w:r>
    </w:p>
    <w:p w:rsidR="0053162E" w:rsidRDefault="00C03003">
      <w:pPr>
        <w:pStyle w:val="1"/>
        <w:shd w:val="clear" w:color="auto" w:fill="auto"/>
        <w:spacing w:after="720"/>
      </w:pPr>
      <w:r>
        <w:rPr>
          <w:b/>
          <w:bCs/>
        </w:rPr>
        <w:t>(МВ, аналоговая, несертифицированная и т.д.)</w:t>
      </w:r>
    </w:p>
    <w:p w:rsidR="0053162E" w:rsidRDefault="00C03003">
      <w:pPr>
        <w:pStyle w:val="30"/>
        <w:shd w:val="clear" w:color="auto" w:fill="auto"/>
      </w:pPr>
      <w:r>
        <w:t xml:space="preserve">Неисправности или </w:t>
      </w:r>
      <w:r>
        <w:t>несоответствие моделей или настроек приемников (телевизора или приставок)</w:t>
      </w:r>
    </w:p>
    <w:p w:rsidR="0053162E" w:rsidRDefault="00C03003">
      <w:pPr>
        <w:pStyle w:val="30"/>
        <w:shd w:val="clear" w:color="auto" w:fill="auto"/>
      </w:pPr>
      <w:r>
        <w:t>Неисправности или несоответствие моделей других элементов пользовательского оборудования</w:t>
      </w:r>
    </w:p>
    <w:p w:rsidR="0053162E" w:rsidRDefault="00C03003">
      <w:pPr>
        <w:pStyle w:val="30"/>
        <w:shd w:val="clear" w:color="auto" w:fill="auto"/>
        <w:spacing w:after="0"/>
      </w:pPr>
      <w:r>
        <w:t>Недостаточная осведомленность телезрителей</w:t>
      </w:r>
    </w:p>
    <w:p w:rsidR="0053162E" w:rsidRDefault="00C03003">
      <w:pPr>
        <w:pStyle w:val="30"/>
        <w:shd w:val="clear" w:color="auto" w:fill="auto"/>
        <w:spacing w:after="260"/>
      </w:pPr>
      <w:r>
        <w:t xml:space="preserve">о плановых перерывах в телевещании для проведения </w:t>
      </w:r>
      <w:r>
        <w:t>профилактических работ</w:t>
      </w:r>
    </w:p>
    <w:p w:rsidR="0053162E" w:rsidRDefault="00C03003">
      <w:pPr>
        <w:spacing w:line="1" w:lineRule="exact"/>
        <w:rPr>
          <w:sz w:val="2"/>
          <w:szCs w:val="2"/>
        </w:rPr>
      </w:pPr>
      <w:r>
        <w:br w:type="column"/>
      </w:r>
    </w:p>
    <w:p w:rsidR="0053162E" w:rsidRDefault="00C03003">
      <w:pPr>
        <w:pStyle w:val="a4"/>
        <w:shd w:val="clear" w:color="auto" w:fill="auto"/>
        <w:tabs>
          <w:tab w:val="left" w:pos="3876"/>
        </w:tabs>
        <w:spacing w:after="440"/>
        <w:rPr>
          <w:sz w:val="26"/>
          <w:szCs w:val="26"/>
        </w:rPr>
      </w:pPr>
      <w:r>
        <w:rPr>
          <w:sz w:val="26"/>
          <w:szCs w:val="26"/>
        </w:rPr>
        <w:t>319 (52%)</w:t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А</w:t>
      </w:r>
    </w:p>
    <w:p w:rsidR="0053162E" w:rsidRDefault="00C03003">
      <w:pPr>
        <w:pStyle w:val="1"/>
        <w:shd w:val="clear" w:color="auto" w:fill="auto"/>
        <w:spacing w:after="40"/>
      </w:pPr>
      <w:r>
        <w:t>Возникновение проблемы вероятно во всех районах</w:t>
      </w:r>
    </w:p>
    <w:p w:rsidR="0053162E" w:rsidRDefault="00C03003">
      <w:pPr>
        <w:pStyle w:val="1"/>
        <w:shd w:val="clear" w:color="auto" w:fill="auto"/>
        <w:spacing w:after="200"/>
      </w:pPr>
      <w:r>
        <w:t>Все населенные пункты в районах: Петрозаводск;</w:t>
      </w:r>
    </w:p>
    <w:p w:rsidR="0053162E" w:rsidRDefault="00C03003">
      <w:pPr>
        <w:pStyle w:val="1"/>
        <w:shd w:val="clear" w:color="auto" w:fill="auto"/>
        <w:spacing w:after="840"/>
      </w:pPr>
      <w:r>
        <w:t>Все населенные пункты в районах: Петрозаводск;</w:t>
      </w:r>
    </w:p>
    <w:p w:rsidR="0053162E" w:rsidRDefault="00C03003">
      <w:pPr>
        <w:pStyle w:val="1"/>
        <w:shd w:val="clear" w:color="auto" w:fill="auto"/>
        <w:spacing w:after="380"/>
      </w:pPr>
      <w:r>
        <w:t>Все населенные пункты в районах: Петрозаводск; Костомукшский; Отдельные насел</w:t>
      </w:r>
      <w:r>
        <w:t>енные пункты в районах: Медвежьегорский; Муезерский; Сегежский; Сортавальский;</w:t>
      </w:r>
    </w:p>
    <w:p w:rsidR="0053162E" w:rsidRDefault="00C03003">
      <w:pPr>
        <w:pStyle w:val="1"/>
        <w:shd w:val="clear" w:color="auto" w:fill="auto"/>
        <w:spacing w:after="320"/>
      </w:pPr>
      <w:r>
        <w:t>Отдельные населенные пункты в районах: Лахденпохский; Суоярвский;</w:t>
      </w:r>
    </w:p>
    <w:p w:rsidR="0053162E" w:rsidRDefault="00C03003">
      <w:pPr>
        <w:pStyle w:val="a4"/>
        <w:shd w:val="clear" w:color="auto" w:fill="auto"/>
        <w:tabs>
          <w:tab w:val="left" w:pos="3876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143 (45%)</w:t>
      </w:r>
      <w:r>
        <w:rPr>
          <w:sz w:val="22"/>
          <w:szCs w:val="22"/>
        </w:rPr>
        <w:tab/>
        <w:t>А</w:t>
      </w:r>
    </w:p>
    <w:p w:rsidR="0053162E" w:rsidRDefault="00C03003">
      <w:pPr>
        <w:pStyle w:val="1"/>
        <w:shd w:val="clear" w:color="auto" w:fill="auto"/>
        <w:spacing w:after="40"/>
      </w:pPr>
      <w:r>
        <w:t>Все населенные пункты в районах: Петрозаводск; Олонецкий; Костомукшский; Отдельные населенные пункт</w:t>
      </w:r>
      <w:r>
        <w:t>ы в районах: Медвежьегорский; Сегежский; Суоярвский; Питкярантский; Лахденпохский; Лоухский; Пудожский; Беломорский; Прионежский; Кемский; Пряжинский;</w:t>
      </w:r>
    </w:p>
    <w:p w:rsidR="0053162E" w:rsidRDefault="00C03003">
      <w:pPr>
        <w:pStyle w:val="1"/>
        <w:shd w:val="clear" w:color="auto" w:fill="auto"/>
        <w:spacing w:after="200" w:line="257" w:lineRule="auto"/>
      </w:pPr>
      <w:r>
        <w:t xml:space="preserve">Все населенные пункты в районах: Прионежский; Отдельные населенные пункты в районах: Сортавальский; </w:t>
      </w:r>
      <w:r>
        <w:t>Беломорский; Медвежьегорский; Пряжинский; Пудожский; Лоухский; Питкярантский; Все населенные пункты в районах: Петрозаводск;</w:t>
      </w:r>
    </w:p>
    <w:p w:rsidR="0053162E" w:rsidRDefault="00C03003">
      <w:pPr>
        <w:pStyle w:val="1"/>
        <w:shd w:val="clear" w:color="auto" w:fill="auto"/>
        <w:spacing w:after="0"/>
      </w:pPr>
      <w:r>
        <w:t>Все населенные пункты в районах: Петрозаводск; Олонецкий; Костомукшский; Все населенные пункты в районах: Медвежьегорский; Сегежски</w:t>
      </w:r>
      <w:r>
        <w:t>й; Суоярвский; Сортавальский; Питкярантский;</w:t>
      </w:r>
    </w:p>
    <w:p w:rsidR="0053162E" w:rsidRDefault="00C03003">
      <w:pPr>
        <w:pStyle w:val="1"/>
        <w:shd w:val="clear" w:color="auto" w:fill="auto"/>
        <w:spacing w:after="200"/>
      </w:pPr>
      <w:r>
        <w:t>Лахденпохский; Пудожский; Беломорский; Прионежский; Лоухский; Пряжинский;</w:t>
      </w:r>
    </w:p>
    <w:p w:rsidR="0053162E" w:rsidRDefault="00C03003">
      <w:pPr>
        <w:pStyle w:val="a9"/>
        <w:shd w:val="clear" w:color="auto" w:fill="auto"/>
        <w:tabs>
          <w:tab w:val="left" w:pos="3876"/>
        </w:tabs>
        <w:spacing w:after="100"/>
        <w:rPr>
          <w:sz w:val="22"/>
          <w:szCs w:val="22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sz w:val="22"/>
          <w:szCs w:val="22"/>
        </w:rPr>
        <w:t>82 (26%)</w:t>
      </w:r>
      <w:r>
        <w:rPr>
          <w:sz w:val="22"/>
          <w:szCs w:val="22"/>
        </w:rPr>
        <w:tab/>
        <w:t>А</w:t>
      </w:r>
    </w:p>
    <w:p w:rsidR="0053162E" w:rsidRDefault="00C03003">
      <w:pPr>
        <w:pStyle w:val="a9"/>
        <w:shd w:val="clear" w:color="auto" w:fill="auto"/>
      </w:pPr>
      <w:r>
        <w:t>Возникновение проблемы вероятно во всех районах</w:t>
      </w:r>
    </w:p>
    <w:p w:rsidR="0053162E" w:rsidRDefault="00C03003">
      <w:pPr>
        <w:pStyle w:val="a9"/>
        <w:shd w:val="clear" w:color="auto" w:fill="auto"/>
        <w:tabs>
          <w:tab w:val="left" w:pos="3876"/>
        </w:tabs>
        <w:spacing w:after="100"/>
        <w:rPr>
          <w:sz w:val="22"/>
          <w:szCs w:val="22"/>
        </w:rPr>
      </w:pPr>
      <w:r>
        <w:rPr>
          <w:sz w:val="22"/>
          <w:szCs w:val="22"/>
        </w:rPr>
        <w:t>65 (20%)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А</w:t>
      </w:r>
    </w:p>
    <w:p w:rsidR="0053162E" w:rsidRDefault="00C03003">
      <w:pPr>
        <w:pStyle w:val="a9"/>
        <w:shd w:val="clear" w:color="auto" w:fill="auto"/>
        <w:spacing w:after="320"/>
      </w:pPr>
      <w:r>
        <w:t>Возникновение проблемы вероятно во всех районах</w:t>
      </w:r>
    </w:p>
    <w:p w:rsidR="0053162E" w:rsidRDefault="00C03003">
      <w:pPr>
        <w:pStyle w:val="a9"/>
        <w:shd w:val="clear" w:color="auto" w:fill="auto"/>
        <w:tabs>
          <w:tab w:val="left" w:pos="3876"/>
        </w:tabs>
        <w:rPr>
          <w:sz w:val="22"/>
          <w:szCs w:val="22"/>
        </w:rPr>
        <w:sectPr w:rsidR="0053162E">
          <w:type w:val="continuous"/>
          <w:pgSz w:w="11900" w:h="16840"/>
          <w:pgMar w:top="1446" w:right="1329" w:bottom="1446" w:left="1253" w:header="0" w:footer="3" w:gutter="0"/>
          <w:cols w:num="2" w:space="100"/>
          <w:noEndnote/>
          <w:docGrid w:linePitch="360"/>
        </w:sectPr>
      </w:pPr>
      <w:r>
        <w:rPr>
          <w:sz w:val="22"/>
          <w:szCs w:val="22"/>
        </w:rPr>
        <w:t>29 (9%)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А</w:t>
      </w:r>
      <w:r>
        <w:fldChar w:fldCharType="end"/>
      </w:r>
    </w:p>
    <w:p w:rsidR="00000000" w:rsidRDefault="00C03003"/>
    <w:sectPr w:rsidR="00000000">
      <w:type w:val="continuous"/>
      <w:pgSz w:w="11900" w:h="16840"/>
      <w:pgMar w:top="1446" w:right="1329" w:bottom="1446" w:left="1253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3003">
      <w:r>
        <w:separator/>
      </w:r>
    </w:p>
  </w:endnote>
  <w:endnote w:type="continuationSeparator" w:id="0">
    <w:p w:rsidR="00000000" w:rsidRDefault="00C0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2E" w:rsidRDefault="0053162E"/>
  </w:footnote>
  <w:footnote w:type="continuationSeparator" w:id="0">
    <w:p w:rsidR="0053162E" w:rsidRDefault="005316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4BE"/>
    <w:multiLevelType w:val="multilevel"/>
    <w:tmpl w:val="DC44AE7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E"/>
    <w:rsid w:val="0053162E"/>
    <w:rsid w:val="00C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21B94-BAB3-4170-96D4-6F986008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картинке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Оглавление_"/>
    <w:basedOn w:val="a0"/>
    <w:link w:val="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90"/>
    </w:pPr>
    <w:rPr>
      <w:rFonts w:ascii="Calibri" w:eastAsia="Calibri" w:hAnsi="Calibri" w:cs="Calibri"/>
      <w:sz w:val="15"/>
      <w:szCs w:val="15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90"/>
    </w:pPr>
    <w:rPr>
      <w:rFonts w:ascii="Calibri" w:eastAsia="Calibri" w:hAnsi="Calibri" w:cs="Calibri"/>
      <w:sz w:val="15"/>
      <w:szCs w:val="15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/>
    </w:pPr>
    <w:rPr>
      <w:rFonts w:ascii="Calibri" w:eastAsia="Calibri" w:hAnsi="Calibri" w:cs="Calibri"/>
      <w:sz w:val="18"/>
      <w:szCs w:val="18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after="200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2020-05-14T13:58:00Z</dcterms:created>
  <dcterms:modified xsi:type="dcterms:W3CDTF">2020-05-14T13:58:00Z</dcterms:modified>
</cp:coreProperties>
</file>